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F193" w14:textId="39E5F18D" w:rsidR="00F44D8A" w:rsidRPr="00F44D8A" w:rsidRDefault="00F44D8A" w:rsidP="00F44D8A">
      <w:pPr>
        <w:rPr>
          <w:rFonts w:ascii="Verdana" w:hAnsi="Verdana"/>
          <w:b/>
          <w:sz w:val="24"/>
          <w:szCs w:val="24"/>
        </w:rPr>
      </w:pPr>
      <w:r w:rsidRPr="00F44D8A">
        <w:rPr>
          <w:rFonts w:ascii="Verdana" w:hAnsi="Verdana"/>
          <w:b/>
          <w:sz w:val="24"/>
          <w:szCs w:val="24"/>
        </w:rPr>
        <w:t xml:space="preserve">Introduction </w:t>
      </w:r>
      <w:r w:rsidR="00AF7AF7">
        <w:rPr>
          <w:rFonts w:ascii="Verdana" w:hAnsi="Verdana"/>
          <w:b/>
          <w:sz w:val="24"/>
          <w:szCs w:val="24"/>
        </w:rPr>
        <w:t xml:space="preserve"> </w:t>
      </w:r>
    </w:p>
    <w:p w14:paraId="781734B1" w14:textId="77777777" w:rsidR="00F44D8A" w:rsidRPr="00F44D8A" w:rsidRDefault="00F44D8A" w:rsidP="00F44D8A">
      <w:pPr>
        <w:rPr>
          <w:rFonts w:ascii="Verdana" w:hAnsi="Verdana"/>
        </w:rPr>
      </w:pPr>
      <w:r w:rsidRPr="00F44D8A">
        <w:rPr>
          <w:rFonts w:ascii="Verdana" w:hAnsi="Verdana"/>
        </w:rPr>
        <w:t>Regulations came into effect in 2017 that require</w:t>
      </w:r>
      <w:r w:rsidR="00E37286">
        <w:rPr>
          <w:rFonts w:ascii="Verdana" w:hAnsi="Verdana"/>
        </w:rPr>
        <w:t>s</w:t>
      </w:r>
      <w:r w:rsidRPr="00F44D8A">
        <w:rPr>
          <w:rFonts w:ascii="Verdana" w:hAnsi="Verdana"/>
        </w:rPr>
        <w:t xml:space="preserve"> organisations employing over 250 </w:t>
      </w:r>
      <w:r w:rsidR="00510138">
        <w:rPr>
          <w:rFonts w:ascii="Verdana" w:hAnsi="Verdana"/>
        </w:rPr>
        <w:t>employees</w:t>
      </w:r>
      <w:r w:rsidRPr="00F44D8A">
        <w:rPr>
          <w:rFonts w:ascii="Verdana" w:hAnsi="Verdana"/>
        </w:rPr>
        <w:t xml:space="preserve"> to carry out gender pay gap reporting. The two sets of Regulations introduced mandatory gender pay gap reporting on employers; the Equality Act 2010 (Specific Duties and Public Authorities) Regulations 2017 and the Equality Act 2010 (Gender Pay Gap Reporting) Regulations 2017. Both sets of Regulations are similar, however the Equality Act 2010 (Specific Duties and Public Authorities) Regulations 2017 apply to public sector employers, including </w:t>
      </w:r>
      <w:r w:rsidR="00C87154">
        <w:rPr>
          <w:rFonts w:ascii="Verdana" w:hAnsi="Verdana"/>
        </w:rPr>
        <w:t>f</w:t>
      </w:r>
      <w:r w:rsidRPr="00F44D8A">
        <w:rPr>
          <w:rFonts w:ascii="Verdana" w:hAnsi="Verdana"/>
        </w:rPr>
        <w:t xml:space="preserve">ire </w:t>
      </w:r>
      <w:r w:rsidR="00C87154">
        <w:rPr>
          <w:rFonts w:ascii="Verdana" w:hAnsi="Verdana"/>
        </w:rPr>
        <w:t>a</w:t>
      </w:r>
      <w:r w:rsidRPr="00F44D8A">
        <w:rPr>
          <w:rFonts w:ascii="Verdana" w:hAnsi="Verdana"/>
        </w:rPr>
        <w:t xml:space="preserve">uthorities.  </w:t>
      </w:r>
    </w:p>
    <w:p w14:paraId="2D4D7585" w14:textId="77777777" w:rsidR="003B56DC" w:rsidRDefault="00F44D8A" w:rsidP="003B56DC">
      <w:pPr>
        <w:rPr>
          <w:rFonts w:ascii="Verdana" w:hAnsi="Verdana"/>
          <w:b/>
        </w:rPr>
      </w:pPr>
      <w:r w:rsidRPr="00F44D8A">
        <w:rPr>
          <w:rFonts w:ascii="Verdana" w:hAnsi="Verdana"/>
        </w:rPr>
        <w:t>Gender pay gap information must be published within ‘the period of 12</w:t>
      </w:r>
      <w:r w:rsidR="002D6119">
        <w:rPr>
          <w:rFonts w:ascii="Verdana" w:hAnsi="Verdana"/>
        </w:rPr>
        <w:t>-</w:t>
      </w:r>
      <w:r w:rsidRPr="00F44D8A">
        <w:rPr>
          <w:rFonts w:ascii="Verdana" w:hAnsi="Verdana"/>
        </w:rPr>
        <w:t>months beginning with the snapshot date’ (Regulation 2(2)). The snapshot dat</w:t>
      </w:r>
      <w:r w:rsidR="00487877">
        <w:rPr>
          <w:rFonts w:ascii="Verdana" w:hAnsi="Verdana"/>
        </w:rPr>
        <w:t>e</w:t>
      </w:r>
      <w:r w:rsidRPr="00F44D8A">
        <w:rPr>
          <w:rFonts w:ascii="Verdana" w:hAnsi="Verdana"/>
        </w:rPr>
        <w:t xml:space="preserve"> for public sector employers is 31 March each year.</w:t>
      </w:r>
    </w:p>
    <w:p w14:paraId="0FA24111" w14:textId="77777777" w:rsidR="000A5C72" w:rsidRDefault="000A5C72" w:rsidP="009B29F3">
      <w:pPr>
        <w:spacing w:after="0"/>
        <w:rPr>
          <w:rFonts w:ascii="Verdana" w:hAnsi="Verdana"/>
        </w:rPr>
      </w:pPr>
    </w:p>
    <w:p w14:paraId="5EA6E32B" w14:textId="77777777" w:rsidR="00F44D8A" w:rsidRPr="006F3071" w:rsidRDefault="00F44D8A" w:rsidP="00F44D8A">
      <w:pPr>
        <w:rPr>
          <w:rFonts w:ascii="Verdana" w:hAnsi="Verdana"/>
          <w:b/>
          <w:sz w:val="24"/>
          <w:szCs w:val="24"/>
        </w:rPr>
      </w:pPr>
      <w:r w:rsidRPr="006F3071">
        <w:rPr>
          <w:rFonts w:ascii="Verdana" w:hAnsi="Verdana"/>
          <w:b/>
          <w:sz w:val="24"/>
          <w:szCs w:val="24"/>
        </w:rPr>
        <w:t>What is the gender pay gap?</w:t>
      </w:r>
    </w:p>
    <w:p w14:paraId="4365D917" w14:textId="77777777" w:rsidR="004849D4" w:rsidRPr="00070DD8" w:rsidRDefault="00F44D8A" w:rsidP="006F3071">
      <w:pPr>
        <w:rPr>
          <w:rFonts w:ascii="Verdana" w:hAnsi="Verdana"/>
        </w:rPr>
      </w:pPr>
      <w:r w:rsidRPr="00F44D8A">
        <w:rPr>
          <w:rFonts w:ascii="Verdana" w:hAnsi="Verdana"/>
        </w:rPr>
        <w:t>The gender pay gap shows the difference between the average earnings of males and females, expressed as a percentage of m</w:t>
      </w:r>
      <w:r w:rsidR="008759B5">
        <w:rPr>
          <w:rFonts w:ascii="Verdana" w:hAnsi="Verdana"/>
        </w:rPr>
        <w:t>ale</w:t>
      </w:r>
      <w:r w:rsidRPr="00F44D8A">
        <w:rPr>
          <w:rFonts w:ascii="Verdana" w:hAnsi="Verdana"/>
        </w:rPr>
        <w:t xml:space="preserve"> earnings, </w:t>
      </w:r>
      <w:proofErr w:type="gramStart"/>
      <w:r w:rsidRPr="00F44D8A">
        <w:rPr>
          <w:rFonts w:ascii="Verdana" w:hAnsi="Verdana"/>
        </w:rPr>
        <w:t>e.g.</w:t>
      </w:r>
      <w:proofErr w:type="gramEnd"/>
      <w:r w:rsidRPr="00F44D8A">
        <w:rPr>
          <w:rFonts w:ascii="Verdana" w:hAnsi="Verdana"/>
        </w:rPr>
        <w:t xml:space="preserve"> females earn 10</w:t>
      </w:r>
      <w:r w:rsidR="00964C7D">
        <w:rPr>
          <w:rFonts w:ascii="Verdana" w:hAnsi="Verdana"/>
        </w:rPr>
        <w:t xml:space="preserve"> per cent </w:t>
      </w:r>
      <w:r w:rsidRPr="00F44D8A">
        <w:rPr>
          <w:rFonts w:ascii="Verdana" w:hAnsi="Verdana"/>
        </w:rPr>
        <w:t>less than m</w:t>
      </w:r>
      <w:r w:rsidR="008759B5">
        <w:rPr>
          <w:rFonts w:ascii="Verdana" w:hAnsi="Verdana"/>
        </w:rPr>
        <w:t>ales</w:t>
      </w:r>
      <w:r w:rsidRPr="00F44D8A">
        <w:rPr>
          <w:rFonts w:ascii="Verdana" w:hAnsi="Verdana"/>
        </w:rPr>
        <w:t>.</w:t>
      </w:r>
      <w:r w:rsidR="00E6783A">
        <w:rPr>
          <w:rFonts w:ascii="Verdana" w:hAnsi="Verdana"/>
        </w:rPr>
        <w:t xml:space="preserve"> </w:t>
      </w:r>
      <w:r w:rsidR="00654B5A">
        <w:rPr>
          <w:rFonts w:ascii="Verdana" w:hAnsi="Verdana"/>
        </w:rPr>
        <w:t>The gender pay gap should not be confused with equal pay and this is explained in the next section.</w:t>
      </w:r>
      <w:r w:rsidR="004849D4">
        <w:rPr>
          <w:rFonts w:ascii="Verdana" w:hAnsi="Verdana"/>
        </w:rPr>
        <w:t xml:space="preserve"> T</w:t>
      </w:r>
      <w:r w:rsidRPr="00F44D8A">
        <w:rPr>
          <w:rFonts w:ascii="Verdana" w:hAnsi="Verdana"/>
        </w:rPr>
        <w:t>he gender pay gap is reported on both the mean (average) and median (mid</w:t>
      </w:r>
      <w:r w:rsidRPr="00070DD8">
        <w:rPr>
          <w:rFonts w:ascii="Verdana" w:hAnsi="Verdana"/>
        </w:rPr>
        <w:t>-point) basis.</w:t>
      </w:r>
      <w:r w:rsidR="00654B5A" w:rsidRPr="00070DD8">
        <w:rPr>
          <w:rFonts w:ascii="Verdana" w:hAnsi="Verdana"/>
        </w:rPr>
        <w:t xml:space="preserve"> </w:t>
      </w:r>
    </w:p>
    <w:p w14:paraId="1FA62941" w14:textId="2C130422" w:rsidR="008D3214" w:rsidRPr="00592B4E" w:rsidRDefault="009E7579" w:rsidP="006F3071">
      <w:pPr>
        <w:rPr>
          <w:rFonts w:ascii="Verdana" w:hAnsi="Verdana"/>
        </w:rPr>
      </w:pPr>
      <w:r w:rsidRPr="00592B4E">
        <w:rPr>
          <w:rFonts w:ascii="Verdana" w:hAnsi="Verdana"/>
        </w:rPr>
        <w:t>According to the Office of National Statistics</w:t>
      </w:r>
      <w:r w:rsidR="002C7949" w:rsidRPr="00592B4E">
        <w:rPr>
          <w:rFonts w:ascii="Verdana" w:hAnsi="Verdana"/>
        </w:rPr>
        <w:t xml:space="preserve"> (Source: ONS - Gender pay gap in the UK: 20</w:t>
      </w:r>
      <w:r w:rsidR="002218E8" w:rsidRPr="00592B4E">
        <w:rPr>
          <w:rFonts w:ascii="Verdana" w:hAnsi="Verdana"/>
        </w:rPr>
        <w:t>2</w:t>
      </w:r>
      <w:r w:rsidR="00592B4E" w:rsidRPr="00592B4E">
        <w:rPr>
          <w:rFonts w:ascii="Verdana" w:hAnsi="Verdana"/>
        </w:rPr>
        <w:t>2</w:t>
      </w:r>
      <w:r w:rsidR="002C7949" w:rsidRPr="00592B4E">
        <w:rPr>
          <w:rFonts w:ascii="Verdana" w:hAnsi="Verdana"/>
        </w:rPr>
        <w:t>)</w:t>
      </w:r>
      <w:r w:rsidRPr="00592B4E">
        <w:rPr>
          <w:rFonts w:ascii="Verdana" w:hAnsi="Verdana"/>
        </w:rPr>
        <w:t>,</w:t>
      </w:r>
      <w:r w:rsidR="00070DD8" w:rsidRPr="00592B4E">
        <w:rPr>
          <w:rFonts w:ascii="Verdana" w:hAnsi="Verdana"/>
        </w:rPr>
        <w:t xml:space="preserve"> the gender pay gap</w:t>
      </w:r>
      <w:r w:rsidR="00F2760A" w:rsidRPr="00592B4E">
        <w:rPr>
          <w:rFonts w:ascii="Verdana" w:hAnsi="Verdana"/>
        </w:rPr>
        <w:t xml:space="preserve"> continues to </w:t>
      </w:r>
      <w:r w:rsidR="00592B4E" w:rsidRPr="00592B4E">
        <w:rPr>
          <w:rFonts w:ascii="Verdana" w:hAnsi="Verdana"/>
        </w:rPr>
        <w:t xml:space="preserve">slowly </w:t>
      </w:r>
      <w:r w:rsidR="00F2760A" w:rsidRPr="00592B4E">
        <w:rPr>
          <w:rFonts w:ascii="Verdana" w:hAnsi="Verdana"/>
        </w:rPr>
        <w:t>decline and over the last decade has fallen by approximately a quarter</w:t>
      </w:r>
      <w:r w:rsidR="00592B4E" w:rsidRPr="00592B4E">
        <w:rPr>
          <w:rFonts w:ascii="Verdana" w:hAnsi="Verdana"/>
        </w:rPr>
        <w:t xml:space="preserve"> </w:t>
      </w:r>
      <w:r w:rsidR="006A21CE" w:rsidRPr="00592B4E">
        <w:rPr>
          <w:rFonts w:ascii="Verdana" w:hAnsi="Verdana"/>
        </w:rPr>
        <w:t>among</w:t>
      </w:r>
      <w:r w:rsidR="006A21CE">
        <w:rPr>
          <w:rFonts w:ascii="Verdana" w:hAnsi="Verdana"/>
        </w:rPr>
        <w:t>st</w:t>
      </w:r>
      <w:r w:rsidR="00592B4E" w:rsidRPr="00592B4E">
        <w:rPr>
          <w:rFonts w:ascii="Verdana" w:hAnsi="Verdana"/>
        </w:rPr>
        <w:t xml:space="preserve"> both full-time employees and all employees</w:t>
      </w:r>
      <w:r w:rsidR="008855D8" w:rsidRPr="00592B4E">
        <w:rPr>
          <w:rFonts w:ascii="Verdana" w:hAnsi="Verdana"/>
        </w:rPr>
        <w:t xml:space="preserve">. </w:t>
      </w:r>
    </w:p>
    <w:p w14:paraId="531222CB" w14:textId="373147F8" w:rsidR="006E24C8" w:rsidRDefault="00F2760A" w:rsidP="006E24C8">
      <w:pPr>
        <w:rPr>
          <w:rFonts w:ascii="Verdana" w:hAnsi="Verdana"/>
        </w:rPr>
      </w:pPr>
      <w:r w:rsidRPr="00592B4E">
        <w:rPr>
          <w:rFonts w:ascii="Verdana" w:hAnsi="Verdana"/>
        </w:rPr>
        <w:t>In 202</w:t>
      </w:r>
      <w:r w:rsidR="006E24C8" w:rsidRPr="00592B4E">
        <w:rPr>
          <w:rFonts w:ascii="Verdana" w:hAnsi="Verdana"/>
        </w:rPr>
        <w:t>2</w:t>
      </w:r>
      <w:r w:rsidRPr="00592B4E">
        <w:rPr>
          <w:rFonts w:ascii="Verdana" w:hAnsi="Verdana"/>
        </w:rPr>
        <w:t xml:space="preserve"> the </w:t>
      </w:r>
      <w:r w:rsidR="007E6DD1" w:rsidRPr="00592B4E">
        <w:rPr>
          <w:rFonts w:ascii="Verdana" w:hAnsi="Verdana"/>
        </w:rPr>
        <w:t xml:space="preserve">UK </w:t>
      </w:r>
      <w:r w:rsidR="00B21EF4" w:rsidRPr="00592B4E">
        <w:rPr>
          <w:rFonts w:ascii="Verdana" w:hAnsi="Verdana"/>
        </w:rPr>
        <w:t xml:space="preserve">gender pay </w:t>
      </w:r>
      <w:r w:rsidRPr="00592B4E">
        <w:rPr>
          <w:rFonts w:ascii="Verdana" w:hAnsi="Verdana"/>
        </w:rPr>
        <w:t xml:space="preserve">gap among all full-time employees was </w:t>
      </w:r>
      <w:r w:rsidR="006E24C8" w:rsidRPr="00592B4E">
        <w:rPr>
          <w:rFonts w:ascii="Verdana" w:hAnsi="Verdana"/>
        </w:rPr>
        <w:t>8.3</w:t>
      </w:r>
      <w:r w:rsidRPr="00592B4E">
        <w:rPr>
          <w:rFonts w:ascii="Verdana" w:hAnsi="Verdana"/>
        </w:rPr>
        <w:t xml:space="preserve"> per cent, up from 7.</w:t>
      </w:r>
      <w:r w:rsidR="006E24C8" w:rsidRPr="00592B4E">
        <w:rPr>
          <w:rFonts w:ascii="Verdana" w:hAnsi="Verdana"/>
        </w:rPr>
        <w:t>7</w:t>
      </w:r>
      <w:r w:rsidRPr="00592B4E">
        <w:rPr>
          <w:rFonts w:ascii="Verdana" w:hAnsi="Verdana"/>
        </w:rPr>
        <w:t xml:space="preserve"> per cent in 202</w:t>
      </w:r>
      <w:r w:rsidR="006E24C8" w:rsidRPr="00592B4E">
        <w:rPr>
          <w:rFonts w:ascii="Verdana" w:hAnsi="Verdana"/>
        </w:rPr>
        <w:t>1</w:t>
      </w:r>
      <w:r w:rsidRPr="00592B4E">
        <w:rPr>
          <w:rFonts w:ascii="Verdana" w:hAnsi="Verdana"/>
        </w:rPr>
        <w:t>.</w:t>
      </w:r>
      <w:r w:rsidR="006F53B5" w:rsidRPr="00592B4E">
        <w:rPr>
          <w:rFonts w:ascii="Verdana" w:hAnsi="Verdana"/>
        </w:rPr>
        <w:t xml:space="preserve"> </w:t>
      </w:r>
      <w:r w:rsidR="008D3214" w:rsidRPr="00592B4E">
        <w:rPr>
          <w:rFonts w:ascii="Verdana" w:hAnsi="Verdana"/>
        </w:rPr>
        <w:t>The data for 202</w:t>
      </w:r>
      <w:r w:rsidR="006E24C8" w:rsidRPr="00592B4E">
        <w:rPr>
          <w:rFonts w:ascii="Verdana" w:hAnsi="Verdana"/>
        </w:rPr>
        <w:t>2</w:t>
      </w:r>
      <w:r w:rsidR="008D3214" w:rsidRPr="00592B4E">
        <w:rPr>
          <w:rFonts w:ascii="Verdana" w:hAnsi="Verdana"/>
        </w:rPr>
        <w:t xml:space="preserve"> </w:t>
      </w:r>
      <w:r w:rsidRPr="00592B4E">
        <w:rPr>
          <w:rFonts w:ascii="Verdana" w:hAnsi="Verdana"/>
        </w:rPr>
        <w:t>is still below the gap of 9.0 per cent before the coronavirus (Covid-19) pandemic.</w:t>
      </w:r>
      <w:r w:rsidR="008D3214" w:rsidRPr="00592B4E">
        <w:rPr>
          <w:rFonts w:ascii="Verdana" w:hAnsi="Verdana"/>
        </w:rPr>
        <w:t xml:space="preserve"> </w:t>
      </w:r>
      <w:r w:rsidRPr="00592B4E">
        <w:rPr>
          <w:rFonts w:ascii="Verdana" w:hAnsi="Verdana"/>
        </w:rPr>
        <w:t>Among</w:t>
      </w:r>
      <w:r w:rsidR="006A21CE">
        <w:rPr>
          <w:rFonts w:ascii="Verdana" w:hAnsi="Verdana"/>
        </w:rPr>
        <w:t>st</w:t>
      </w:r>
      <w:r w:rsidRPr="00592B4E">
        <w:rPr>
          <w:rFonts w:ascii="Verdana" w:hAnsi="Verdana"/>
        </w:rPr>
        <w:t xml:space="preserve"> all employees, the </w:t>
      </w:r>
      <w:r w:rsidR="007E6DD1" w:rsidRPr="00592B4E">
        <w:rPr>
          <w:rFonts w:ascii="Verdana" w:hAnsi="Verdana"/>
        </w:rPr>
        <w:t xml:space="preserve">UK </w:t>
      </w:r>
      <w:r w:rsidRPr="00592B4E">
        <w:rPr>
          <w:rFonts w:ascii="Verdana" w:hAnsi="Verdana"/>
        </w:rPr>
        <w:t xml:space="preserve">gender pay gap </w:t>
      </w:r>
      <w:r w:rsidR="006E24C8" w:rsidRPr="00592B4E">
        <w:rPr>
          <w:rFonts w:ascii="Verdana" w:hAnsi="Verdana"/>
        </w:rPr>
        <w:t>de</w:t>
      </w:r>
      <w:r w:rsidRPr="00592B4E">
        <w:rPr>
          <w:rFonts w:ascii="Verdana" w:hAnsi="Verdana"/>
        </w:rPr>
        <w:t>creased to 1</w:t>
      </w:r>
      <w:r w:rsidR="006E24C8" w:rsidRPr="00592B4E">
        <w:rPr>
          <w:rFonts w:ascii="Verdana" w:hAnsi="Verdana"/>
        </w:rPr>
        <w:t>4.9</w:t>
      </w:r>
      <w:r w:rsidRPr="00592B4E">
        <w:rPr>
          <w:rFonts w:ascii="Verdana" w:hAnsi="Verdana"/>
        </w:rPr>
        <w:t xml:space="preserve"> per cent from 1</w:t>
      </w:r>
      <w:r w:rsidR="006E24C8" w:rsidRPr="00592B4E">
        <w:rPr>
          <w:rFonts w:ascii="Verdana" w:hAnsi="Verdana"/>
        </w:rPr>
        <w:t>5</w:t>
      </w:r>
      <w:r w:rsidRPr="00592B4E">
        <w:rPr>
          <w:rFonts w:ascii="Verdana" w:hAnsi="Verdana"/>
        </w:rPr>
        <w:t>.</w:t>
      </w:r>
      <w:r w:rsidR="006E24C8" w:rsidRPr="00592B4E">
        <w:rPr>
          <w:rFonts w:ascii="Verdana" w:hAnsi="Verdana"/>
        </w:rPr>
        <w:t>1</w:t>
      </w:r>
      <w:r w:rsidRPr="00592B4E">
        <w:rPr>
          <w:rFonts w:ascii="Verdana" w:hAnsi="Verdana"/>
        </w:rPr>
        <w:t xml:space="preserve"> per cent in 202</w:t>
      </w:r>
      <w:r w:rsidR="006E24C8" w:rsidRPr="00592B4E">
        <w:rPr>
          <w:rFonts w:ascii="Verdana" w:hAnsi="Verdana"/>
        </w:rPr>
        <w:t>1</w:t>
      </w:r>
      <w:r w:rsidRPr="00592B4E">
        <w:rPr>
          <w:rFonts w:ascii="Verdana" w:hAnsi="Verdana"/>
        </w:rPr>
        <w:t xml:space="preserve">, </w:t>
      </w:r>
      <w:r w:rsidR="00B21EF4" w:rsidRPr="00592B4E">
        <w:rPr>
          <w:rFonts w:ascii="Verdana" w:hAnsi="Verdana"/>
        </w:rPr>
        <w:t xml:space="preserve">below the gap of </w:t>
      </w:r>
      <w:r w:rsidRPr="00592B4E">
        <w:rPr>
          <w:rFonts w:ascii="Verdana" w:hAnsi="Verdana"/>
        </w:rPr>
        <w:t>17.4 per cent in 2019.</w:t>
      </w:r>
      <w:r w:rsidR="008D3214" w:rsidRPr="00592B4E">
        <w:rPr>
          <w:rFonts w:ascii="Verdana" w:hAnsi="Verdana"/>
        </w:rPr>
        <w:t xml:space="preserve"> </w:t>
      </w:r>
      <w:r w:rsidR="006E24C8" w:rsidRPr="00592B4E">
        <w:rPr>
          <w:rFonts w:ascii="Verdana" w:hAnsi="Verdana"/>
        </w:rPr>
        <w:t xml:space="preserve">Over the coronavirus (Covid-19) </w:t>
      </w:r>
      <w:r w:rsidR="00592B4E">
        <w:rPr>
          <w:rFonts w:ascii="Verdana" w:hAnsi="Verdana"/>
        </w:rPr>
        <w:t xml:space="preserve">pandemic </w:t>
      </w:r>
      <w:r w:rsidR="006E24C8" w:rsidRPr="00592B4E">
        <w:rPr>
          <w:rFonts w:ascii="Verdana" w:hAnsi="Verdana"/>
        </w:rPr>
        <w:t xml:space="preserve">period (2020 and 2021) there is uncertainty to the data due </w:t>
      </w:r>
      <w:r w:rsidR="006E24C8">
        <w:rPr>
          <w:rFonts w:ascii="Verdana" w:hAnsi="Verdana"/>
        </w:rPr>
        <w:t>to data collection disruption</w:t>
      </w:r>
      <w:r w:rsidR="00592B4E">
        <w:rPr>
          <w:rFonts w:ascii="Verdana" w:hAnsi="Verdana"/>
        </w:rPr>
        <w:t xml:space="preserve">s </w:t>
      </w:r>
      <w:r w:rsidR="006E24C8">
        <w:rPr>
          <w:rFonts w:ascii="Verdana" w:hAnsi="Verdana"/>
        </w:rPr>
        <w:t xml:space="preserve">and lower response rates during this period. </w:t>
      </w:r>
    </w:p>
    <w:p w14:paraId="5C664480" w14:textId="76DB3877" w:rsidR="00EB3436" w:rsidRDefault="00B0418B" w:rsidP="006F3071">
      <w:pPr>
        <w:rPr>
          <w:rFonts w:ascii="Verdana" w:hAnsi="Verdana"/>
        </w:rPr>
      </w:pPr>
      <w:r w:rsidRPr="009A5E4E">
        <w:rPr>
          <w:rFonts w:ascii="Verdana" w:hAnsi="Verdana"/>
        </w:rPr>
        <w:t xml:space="preserve">Data </w:t>
      </w:r>
      <w:r w:rsidR="00070DD8" w:rsidRPr="009A5E4E">
        <w:rPr>
          <w:rFonts w:ascii="Verdana" w:hAnsi="Verdana"/>
        </w:rPr>
        <w:t xml:space="preserve">from the Office of National Statistics </w:t>
      </w:r>
      <w:r w:rsidRPr="009A5E4E">
        <w:rPr>
          <w:rFonts w:ascii="Verdana" w:hAnsi="Verdana"/>
        </w:rPr>
        <w:t>(source: ONS - Annual Survey of Hours and Earning (ASHE)</w:t>
      </w:r>
      <w:r w:rsidR="00AF7AF7" w:rsidRPr="009A5E4E">
        <w:rPr>
          <w:rFonts w:ascii="Verdana" w:hAnsi="Verdana"/>
        </w:rPr>
        <w:t>)</w:t>
      </w:r>
      <w:r w:rsidRPr="009A5E4E">
        <w:rPr>
          <w:rFonts w:ascii="Verdana" w:hAnsi="Verdana"/>
        </w:rPr>
        <w:t xml:space="preserve">, as detailed below, </w:t>
      </w:r>
      <w:r w:rsidR="00070DD8" w:rsidRPr="009A5E4E">
        <w:rPr>
          <w:rFonts w:ascii="Verdana" w:hAnsi="Verdana"/>
        </w:rPr>
        <w:t>show</w:t>
      </w:r>
      <w:r w:rsidR="00501137" w:rsidRPr="009A5E4E">
        <w:rPr>
          <w:rFonts w:ascii="Verdana" w:hAnsi="Verdana"/>
        </w:rPr>
        <w:t>s</w:t>
      </w:r>
      <w:r w:rsidR="00070DD8" w:rsidRPr="009A5E4E">
        <w:rPr>
          <w:rFonts w:ascii="Verdana" w:hAnsi="Verdana"/>
        </w:rPr>
        <w:t xml:space="preserve"> </w:t>
      </w:r>
      <w:r w:rsidRPr="009A5E4E">
        <w:rPr>
          <w:rFonts w:ascii="Verdana" w:hAnsi="Verdana"/>
        </w:rPr>
        <w:t>the gender pay gap for median gross hourly earnings in the UK</w:t>
      </w:r>
      <w:r w:rsidR="00231CE4" w:rsidRPr="009A5E4E">
        <w:rPr>
          <w:rFonts w:ascii="Verdana" w:hAnsi="Verdana"/>
        </w:rPr>
        <w:t>, April 201</w:t>
      </w:r>
      <w:r w:rsidR="009A5E4E" w:rsidRPr="009A5E4E">
        <w:rPr>
          <w:rFonts w:ascii="Verdana" w:hAnsi="Verdana"/>
        </w:rPr>
        <w:t>2</w:t>
      </w:r>
      <w:r w:rsidR="00231CE4" w:rsidRPr="009A5E4E">
        <w:rPr>
          <w:rFonts w:ascii="Verdana" w:hAnsi="Verdana"/>
        </w:rPr>
        <w:t xml:space="preserve"> to April 20</w:t>
      </w:r>
      <w:r w:rsidR="00E95257" w:rsidRPr="009A5E4E">
        <w:rPr>
          <w:rFonts w:ascii="Verdana" w:hAnsi="Verdana"/>
        </w:rPr>
        <w:t>2</w:t>
      </w:r>
      <w:r w:rsidR="009A5E4E" w:rsidRPr="009A5E4E">
        <w:rPr>
          <w:rFonts w:ascii="Verdana" w:hAnsi="Verdana"/>
        </w:rPr>
        <w:t>2</w:t>
      </w:r>
      <w:r w:rsidRPr="009A5E4E">
        <w:rPr>
          <w:rFonts w:ascii="Verdana" w:hAnsi="Verdana"/>
        </w:rPr>
        <w:t xml:space="preserve">. When comparing the gap over this </w:t>
      </w:r>
      <w:r w:rsidR="00B21EF4" w:rsidRPr="009A5E4E">
        <w:rPr>
          <w:rFonts w:ascii="Verdana" w:hAnsi="Verdana"/>
        </w:rPr>
        <w:t>period</w:t>
      </w:r>
      <w:r w:rsidRPr="009A5E4E">
        <w:rPr>
          <w:rFonts w:ascii="Verdana" w:hAnsi="Verdana"/>
        </w:rPr>
        <w:t xml:space="preserve">, it is evident that </w:t>
      </w:r>
      <w:r w:rsidR="002A0922" w:rsidRPr="009A5E4E">
        <w:rPr>
          <w:rFonts w:ascii="Verdana" w:hAnsi="Verdana"/>
        </w:rPr>
        <w:t xml:space="preserve">progress on closing the gender pay gap is </w:t>
      </w:r>
      <w:r w:rsidR="006E24C8" w:rsidRPr="009A5E4E">
        <w:rPr>
          <w:rFonts w:ascii="Verdana" w:hAnsi="Verdana"/>
        </w:rPr>
        <w:t>slow</w:t>
      </w:r>
      <w:r w:rsidR="002A0922" w:rsidRPr="009A5E4E">
        <w:rPr>
          <w:rFonts w:ascii="Verdana" w:hAnsi="Verdana"/>
        </w:rPr>
        <w:t xml:space="preserve"> and</w:t>
      </w:r>
      <w:r w:rsidR="00070DD8" w:rsidRPr="009A5E4E">
        <w:rPr>
          <w:rFonts w:ascii="Verdana" w:hAnsi="Verdana"/>
        </w:rPr>
        <w:t xml:space="preserve"> therefore likely to </w:t>
      </w:r>
      <w:r w:rsidR="002A0922" w:rsidRPr="009A5E4E">
        <w:rPr>
          <w:rFonts w:ascii="Verdana" w:hAnsi="Verdana"/>
        </w:rPr>
        <w:t xml:space="preserve">take years to eradicate. </w:t>
      </w:r>
    </w:p>
    <w:tbl>
      <w:tblPr>
        <w:tblStyle w:val="TableGrid"/>
        <w:tblW w:w="8639" w:type="dxa"/>
        <w:tblLook w:val="04A0" w:firstRow="1" w:lastRow="0" w:firstColumn="1" w:lastColumn="0" w:noHBand="0" w:noVBand="1"/>
      </w:tblPr>
      <w:tblGrid>
        <w:gridCol w:w="664"/>
        <w:gridCol w:w="725"/>
        <w:gridCol w:w="725"/>
        <w:gridCol w:w="725"/>
        <w:gridCol w:w="725"/>
        <w:gridCol w:w="725"/>
        <w:gridCol w:w="725"/>
        <w:gridCol w:w="725"/>
        <w:gridCol w:w="725"/>
        <w:gridCol w:w="725"/>
        <w:gridCol w:w="725"/>
        <w:gridCol w:w="725"/>
      </w:tblGrid>
      <w:tr w:rsidR="009A5E4E" w:rsidRPr="009A5E4E" w14:paraId="2958FB94" w14:textId="0DE3F8AF" w:rsidTr="009A5E4E">
        <w:tc>
          <w:tcPr>
            <w:tcW w:w="664" w:type="dxa"/>
            <w:shd w:val="clear" w:color="auto" w:fill="F2F2F2" w:themeFill="background1" w:themeFillShade="F2"/>
          </w:tcPr>
          <w:p w14:paraId="5A5ED524" w14:textId="77777777" w:rsidR="009A5E4E" w:rsidRPr="009A5E4E" w:rsidRDefault="009A5E4E" w:rsidP="006F3071">
            <w:pPr>
              <w:rPr>
                <w:rFonts w:ascii="Verdana" w:hAnsi="Verdana"/>
              </w:rPr>
            </w:pPr>
            <w:r w:rsidRPr="009A5E4E">
              <w:rPr>
                <w:rFonts w:ascii="Verdana" w:hAnsi="Verdana"/>
              </w:rPr>
              <w:t>Year</w:t>
            </w:r>
          </w:p>
        </w:tc>
        <w:tc>
          <w:tcPr>
            <w:tcW w:w="725" w:type="dxa"/>
            <w:shd w:val="clear" w:color="auto" w:fill="F2F2F2" w:themeFill="background1" w:themeFillShade="F2"/>
          </w:tcPr>
          <w:p w14:paraId="308B946B" w14:textId="77777777" w:rsidR="009A5E4E" w:rsidRPr="009A5E4E" w:rsidRDefault="009A5E4E" w:rsidP="006F3071">
            <w:pPr>
              <w:rPr>
                <w:rFonts w:ascii="Verdana" w:hAnsi="Verdana"/>
              </w:rPr>
            </w:pPr>
            <w:r w:rsidRPr="009A5E4E">
              <w:rPr>
                <w:rFonts w:ascii="Verdana" w:hAnsi="Verdana"/>
              </w:rPr>
              <w:t>2012</w:t>
            </w:r>
          </w:p>
        </w:tc>
        <w:tc>
          <w:tcPr>
            <w:tcW w:w="725" w:type="dxa"/>
            <w:shd w:val="clear" w:color="auto" w:fill="F2F2F2" w:themeFill="background1" w:themeFillShade="F2"/>
          </w:tcPr>
          <w:p w14:paraId="75C9A0DA" w14:textId="77777777" w:rsidR="009A5E4E" w:rsidRPr="009A5E4E" w:rsidRDefault="009A5E4E" w:rsidP="006F3071">
            <w:pPr>
              <w:rPr>
                <w:rFonts w:ascii="Verdana" w:hAnsi="Verdana"/>
              </w:rPr>
            </w:pPr>
            <w:r w:rsidRPr="009A5E4E">
              <w:rPr>
                <w:rFonts w:ascii="Verdana" w:hAnsi="Verdana"/>
              </w:rPr>
              <w:t>2013</w:t>
            </w:r>
          </w:p>
        </w:tc>
        <w:tc>
          <w:tcPr>
            <w:tcW w:w="725" w:type="dxa"/>
            <w:shd w:val="clear" w:color="auto" w:fill="F2F2F2" w:themeFill="background1" w:themeFillShade="F2"/>
          </w:tcPr>
          <w:p w14:paraId="532CD3E7" w14:textId="77777777" w:rsidR="009A5E4E" w:rsidRPr="009A5E4E" w:rsidRDefault="009A5E4E" w:rsidP="006F3071">
            <w:pPr>
              <w:rPr>
                <w:rFonts w:ascii="Verdana" w:hAnsi="Verdana"/>
              </w:rPr>
            </w:pPr>
            <w:r w:rsidRPr="009A5E4E">
              <w:rPr>
                <w:rFonts w:ascii="Verdana" w:hAnsi="Verdana"/>
              </w:rPr>
              <w:t>2014</w:t>
            </w:r>
          </w:p>
        </w:tc>
        <w:tc>
          <w:tcPr>
            <w:tcW w:w="725" w:type="dxa"/>
            <w:shd w:val="clear" w:color="auto" w:fill="F2F2F2" w:themeFill="background1" w:themeFillShade="F2"/>
          </w:tcPr>
          <w:p w14:paraId="79CA1B28" w14:textId="77777777" w:rsidR="009A5E4E" w:rsidRPr="009A5E4E" w:rsidRDefault="009A5E4E" w:rsidP="006F3071">
            <w:pPr>
              <w:rPr>
                <w:rFonts w:ascii="Verdana" w:hAnsi="Verdana"/>
              </w:rPr>
            </w:pPr>
            <w:r w:rsidRPr="009A5E4E">
              <w:rPr>
                <w:rFonts w:ascii="Verdana" w:hAnsi="Verdana"/>
              </w:rPr>
              <w:t>2015</w:t>
            </w:r>
          </w:p>
        </w:tc>
        <w:tc>
          <w:tcPr>
            <w:tcW w:w="725" w:type="dxa"/>
            <w:shd w:val="clear" w:color="auto" w:fill="F2F2F2" w:themeFill="background1" w:themeFillShade="F2"/>
          </w:tcPr>
          <w:p w14:paraId="5980D05B" w14:textId="77777777" w:rsidR="009A5E4E" w:rsidRPr="009A5E4E" w:rsidRDefault="009A5E4E" w:rsidP="006F3071">
            <w:pPr>
              <w:rPr>
                <w:rFonts w:ascii="Verdana" w:hAnsi="Verdana"/>
              </w:rPr>
            </w:pPr>
            <w:r w:rsidRPr="009A5E4E">
              <w:rPr>
                <w:rFonts w:ascii="Verdana" w:hAnsi="Verdana"/>
              </w:rPr>
              <w:t>2016</w:t>
            </w:r>
          </w:p>
        </w:tc>
        <w:tc>
          <w:tcPr>
            <w:tcW w:w="725" w:type="dxa"/>
            <w:shd w:val="clear" w:color="auto" w:fill="F2F2F2" w:themeFill="background1" w:themeFillShade="F2"/>
          </w:tcPr>
          <w:p w14:paraId="3DC61298" w14:textId="77777777" w:rsidR="009A5E4E" w:rsidRPr="009A5E4E" w:rsidRDefault="009A5E4E" w:rsidP="006F3071">
            <w:pPr>
              <w:rPr>
                <w:rFonts w:ascii="Verdana" w:hAnsi="Verdana"/>
              </w:rPr>
            </w:pPr>
            <w:r w:rsidRPr="009A5E4E">
              <w:rPr>
                <w:rFonts w:ascii="Verdana" w:hAnsi="Verdana"/>
              </w:rPr>
              <w:t>2017</w:t>
            </w:r>
          </w:p>
        </w:tc>
        <w:tc>
          <w:tcPr>
            <w:tcW w:w="725" w:type="dxa"/>
            <w:shd w:val="clear" w:color="auto" w:fill="F2F2F2" w:themeFill="background1" w:themeFillShade="F2"/>
          </w:tcPr>
          <w:p w14:paraId="72C41B65" w14:textId="77777777" w:rsidR="009A5E4E" w:rsidRPr="009A5E4E" w:rsidRDefault="009A5E4E" w:rsidP="006F3071">
            <w:pPr>
              <w:rPr>
                <w:rFonts w:ascii="Verdana" w:hAnsi="Verdana"/>
              </w:rPr>
            </w:pPr>
            <w:r w:rsidRPr="009A5E4E">
              <w:rPr>
                <w:rFonts w:ascii="Verdana" w:hAnsi="Verdana"/>
              </w:rPr>
              <w:t>2018</w:t>
            </w:r>
          </w:p>
        </w:tc>
        <w:tc>
          <w:tcPr>
            <w:tcW w:w="725" w:type="dxa"/>
            <w:shd w:val="clear" w:color="auto" w:fill="F2F2F2" w:themeFill="background1" w:themeFillShade="F2"/>
          </w:tcPr>
          <w:p w14:paraId="685BEB26" w14:textId="77777777" w:rsidR="009A5E4E" w:rsidRPr="009A5E4E" w:rsidRDefault="009A5E4E" w:rsidP="006F3071">
            <w:pPr>
              <w:rPr>
                <w:rFonts w:ascii="Verdana" w:hAnsi="Verdana"/>
              </w:rPr>
            </w:pPr>
            <w:r w:rsidRPr="009A5E4E">
              <w:rPr>
                <w:rFonts w:ascii="Verdana" w:hAnsi="Verdana"/>
              </w:rPr>
              <w:t>2019</w:t>
            </w:r>
          </w:p>
        </w:tc>
        <w:tc>
          <w:tcPr>
            <w:tcW w:w="725" w:type="dxa"/>
            <w:shd w:val="clear" w:color="auto" w:fill="F2F2F2" w:themeFill="background1" w:themeFillShade="F2"/>
          </w:tcPr>
          <w:p w14:paraId="2C04994D" w14:textId="08DAD46E" w:rsidR="009A5E4E" w:rsidRPr="009A5E4E" w:rsidRDefault="009A5E4E" w:rsidP="006F3071">
            <w:pPr>
              <w:rPr>
                <w:rFonts w:ascii="Verdana" w:hAnsi="Verdana"/>
              </w:rPr>
            </w:pPr>
            <w:r w:rsidRPr="009A5E4E">
              <w:rPr>
                <w:rFonts w:ascii="Verdana" w:hAnsi="Verdana"/>
              </w:rPr>
              <w:t>2020</w:t>
            </w:r>
          </w:p>
        </w:tc>
        <w:tc>
          <w:tcPr>
            <w:tcW w:w="725" w:type="dxa"/>
            <w:shd w:val="clear" w:color="auto" w:fill="F2F2F2" w:themeFill="background1" w:themeFillShade="F2"/>
          </w:tcPr>
          <w:p w14:paraId="00DBF75A" w14:textId="62F83A43" w:rsidR="009A5E4E" w:rsidRPr="009A5E4E" w:rsidRDefault="009A5E4E" w:rsidP="006F3071">
            <w:pPr>
              <w:rPr>
                <w:rFonts w:ascii="Verdana" w:hAnsi="Verdana"/>
              </w:rPr>
            </w:pPr>
            <w:r w:rsidRPr="009A5E4E">
              <w:rPr>
                <w:rFonts w:ascii="Verdana" w:hAnsi="Verdana"/>
              </w:rPr>
              <w:t>2021</w:t>
            </w:r>
          </w:p>
        </w:tc>
        <w:tc>
          <w:tcPr>
            <w:tcW w:w="725" w:type="dxa"/>
            <w:shd w:val="clear" w:color="auto" w:fill="F2F2F2" w:themeFill="background1" w:themeFillShade="F2"/>
          </w:tcPr>
          <w:p w14:paraId="7DC819E0" w14:textId="5196C0A3" w:rsidR="009A5E4E" w:rsidRPr="009A5E4E" w:rsidRDefault="009A5E4E" w:rsidP="006F3071">
            <w:pPr>
              <w:rPr>
                <w:rFonts w:ascii="Verdana" w:hAnsi="Verdana"/>
              </w:rPr>
            </w:pPr>
            <w:r w:rsidRPr="009A5E4E">
              <w:rPr>
                <w:rFonts w:ascii="Verdana" w:hAnsi="Verdana"/>
              </w:rPr>
              <w:t>2022</w:t>
            </w:r>
          </w:p>
        </w:tc>
      </w:tr>
      <w:tr w:rsidR="009A5E4E" w:rsidRPr="009A5E4E" w14:paraId="22EA925A" w14:textId="0095B172" w:rsidTr="009A5E4E">
        <w:tc>
          <w:tcPr>
            <w:tcW w:w="664" w:type="dxa"/>
          </w:tcPr>
          <w:p w14:paraId="55B83062" w14:textId="77777777" w:rsidR="009A5E4E" w:rsidRPr="009A5E4E" w:rsidRDefault="009A5E4E" w:rsidP="006F3071">
            <w:pPr>
              <w:rPr>
                <w:rFonts w:ascii="Verdana" w:hAnsi="Verdana"/>
                <w:sz w:val="18"/>
                <w:szCs w:val="18"/>
              </w:rPr>
            </w:pPr>
            <w:r w:rsidRPr="009A5E4E">
              <w:rPr>
                <w:rFonts w:ascii="Verdana" w:hAnsi="Verdana"/>
                <w:sz w:val="18"/>
                <w:szCs w:val="18"/>
              </w:rPr>
              <w:t>All</w:t>
            </w:r>
          </w:p>
        </w:tc>
        <w:tc>
          <w:tcPr>
            <w:tcW w:w="725" w:type="dxa"/>
          </w:tcPr>
          <w:p w14:paraId="217263CD" w14:textId="77777777" w:rsidR="009A5E4E" w:rsidRPr="009A5E4E" w:rsidRDefault="009A5E4E" w:rsidP="006F3071">
            <w:pPr>
              <w:rPr>
                <w:rFonts w:ascii="Verdana" w:hAnsi="Verdana"/>
              </w:rPr>
            </w:pPr>
            <w:r w:rsidRPr="009A5E4E">
              <w:rPr>
                <w:rFonts w:ascii="Verdana" w:hAnsi="Verdana"/>
              </w:rPr>
              <w:t>19.6</w:t>
            </w:r>
          </w:p>
        </w:tc>
        <w:tc>
          <w:tcPr>
            <w:tcW w:w="725" w:type="dxa"/>
          </w:tcPr>
          <w:p w14:paraId="3C6B6C9D" w14:textId="77777777" w:rsidR="009A5E4E" w:rsidRPr="009A5E4E" w:rsidRDefault="009A5E4E" w:rsidP="006F3071">
            <w:pPr>
              <w:rPr>
                <w:rFonts w:ascii="Verdana" w:hAnsi="Verdana"/>
              </w:rPr>
            </w:pPr>
            <w:r w:rsidRPr="009A5E4E">
              <w:rPr>
                <w:rFonts w:ascii="Verdana" w:hAnsi="Verdana"/>
              </w:rPr>
              <w:t>19.8</w:t>
            </w:r>
          </w:p>
        </w:tc>
        <w:tc>
          <w:tcPr>
            <w:tcW w:w="725" w:type="dxa"/>
          </w:tcPr>
          <w:p w14:paraId="0032A545" w14:textId="77777777" w:rsidR="009A5E4E" w:rsidRPr="009A5E4E" w:rsidRDefault="009A5E4E" w:rsidP="006F3071">
            <w:pPr>
              <w:rPr>
                <w:rFonts w:ascii="Verdana" w:hAnsi="Verdana"/>
              </w:rPr>
            </w:pPr>
            <w:r w:rsidRPr="009A5E4E">
              <w:rPr>
                <w:rFonts w:ascii="Verdana" w:hAnsi="Verdana"/>
              </w:rPr>
              <w:t>19.2</w:t>
            </w:r>
          </w:p>
        </w:tc>
        <w:tc>
          <w:tcPr>
            <w:tcW w:w="725" w:type="dxa"/>
          </w:tcPr>
          <w:p w14:paraId="31FB0090" w14:textId="77777777" w:rsidR="009A5E4E" w:rsidRPr="009A5E4E" w:rsidRDefault="009A5E4E" w:rsidP="006F3071">
            <w:pPr>
              <w:rPr>
                <w:rFonts w:ascii="Verdana" w:hAnsi="Verdana"/>
              </w:rPr>
            </w:pPr>
            <w:r w:rsidRPr="009A5E4E">
              <w:rPr>
                <w:rFonts w:ascii="Verdana" w:hAnsi="Verdana"/>
              </w:rPr>
              <w:t>19.3</w:t>
            </w:r>
          </w:p>
        </w:tc>
        <w:tc>
          <w:tcPr>
            <w:tcW w:w="725" w:type="dxa"/>
          </w:tcPr>
          <w:p w14:paraId="05516C82" w14:textId="77777777" w:rsidR="009A5E4E" w:rsidRPr="009A5E4E" w:rsidRDefault="009A5E4E" w:rsidP="006F3071">
            <w:pPr>
              <w:rPr>
                <w:rFonts w:ascii="Verdana" w:hAnsi="Verdana"/>
              </w:rPr>
            </w:pPr>
            <w:r w:rsidRPr="009A5E4E">
              <w:rPr>
                <w:rFonts w:ascii="Verdana" w:hAnsi="Verdana"/>
              </w:rPr>
              <w:t>18.2</w:t>
            </w:r>
          </w:p>
        </w:tc>
        <w:tc>
          <w:tcPr>
            <w:tcW w:w="725" w:type="dxa"/>
          </w:tcPr>
          <w:p w14:paraId="1FBC7113" w14:textId="77777777" w:rsidR="009A5E4E" w:rsidRPr="009A5E4E" w:rsidRDefault="009A5E4E" w:rsidP="006F3071">
            <w:pPr>
              <w:rPr>
                <w:rFonts w:ascii="Verdana" w:hAnsi="Verdana"/>
              </w:rPr>
            </w:pPr>
            <w:r w:rsidRPr="009A5E4E">
              <w:rPr>
                <w:rFonts w:ascii="Verdana" w:hAnsi="Verdana"/>
              </w:rPr>
              <w:t>18.4</w:t>
            </w:r>
          </w:p>
        </w:tc>
        <w:tc>
          <w:tcPr>
            <w:tcW w:w="725" w:type="dxa"/>
          </w:tcPr>
          <w:p w14:paraId="1B4AA213" w14:textId="77777777" w:rsidR="009A5E4E" w:rsidRPr="009A5E4E" w:rsidRDefault="009A5E4E" w:rsidP="006F3071">
            <w:pPr>
              <w:rPr>
                <w:rFonts w:ascii="Verdana" w:hAnsi="Verdana"/>
              </w:rPr>
            </w:pPr>
            <w:r w:rsidRPr="009A5E4E">
              <w:rPr>
                <w:rFonts w:ascii="Verdana" w:hAnsi="Verdana"/>
              </w:rPr>
              <w:t>17.8</w:t>
            </w:r>
          </w:p>
        </w:tc>
        <w:tc>
          <w:tcPr>
            <w:tcW w:w="725" w:type="dxa"/>
          </w:tcPr>
          <w:p w14:paraId="193860E9" w14:textId="552D1321" w:rsidR="009A5E4E" w:rsidRPr="009A5E4E" w:rsidRDefault="009A5E4E" w:rsidP="006F3071">
            <w:pPr>
              <w:rPr>
                <w:rFonts w:ascii="Verdana" w:hAnsi="Verdana"/>
              </w:rPr>
            </w:pPr>
            <w:r w:rsidRPr="009A5E4E">
              <w:rPr>
                <w:rFonts w:ascii="Verdana" w:hAnsi="Verdana"/>
              </w:rPr>
              <w:t>17.4</w:t>
            </w:r>
          </w:p>
        </w:tc>
        <w:tc>
          <w:tcPr>
            <w:tcW w:w="725" w:type="dxa"/>
          </w:tcPr>
          <w:p w14:paraId="2D53B4D9" w14:textId="3E9E849C" w:rsidR="009A5E4E" w:rsidRPr="009A5E4E" w:rsidRDefault="009A5E4E" w:rsidP="006F3071">
            <w:pPr>
              <w:rPr>
                <w:rFonts w:ascii="Verdana" w:hAnsi="Verdana"/>
              </w:rPr>
            </w:pPr>
            <w:r w:rsidRPr="009A5E4E">
              <w:rPr>
                <w:rFonts w:ascii="Verdana" w:hAnsi="Verdana"/>
              </w:rPr>
              <w:t>14.9</w:t>
            </w:r>
          </w:p>
        </w:tc>
        <w:tc>
          <w:tcPr>
            <w:tcW w:w="725" w:type="dxa"/>
          </w:tcPr>
          <w:p w14:paraId="329E5EF6" w14:textId="41C5E6F1" w:rsidR="009A5E4E" w:rsidRPr="009A5E4E" w:rsidRDefault="009A5E4E" w:rsidP="006F3071">
            <w:pPr>
              <w:rPr>
                <w:rFonts w:ascii="Verdana" w:hAnsi="Verdana"/>
              </w:rPr>
            </w:pPr>
            <w:r w:rsidRPr="009A5E4E">
              <w:rPr>
                <w:rFonts w:ascii="Verdana" w:hAnsi="Verdana"/>
              </w:rPr>
              <w:t>15.1</w:t>
            </w:r>
          </w:p>
        </w:tc>
        <w:tc>
          <w:tcPr>
            <w:tcW w:w="725" w:type="dxa"/>
          </w:tcPr>
          <w:p w14:paraId="09C51AB0" w14:textId="7A6F8ACE" w:rsidR="009A5E4E" w:rsidRPr="009A5E4E" w:rsidRDefault="009A5E4E" w:rsidP="006F3071">
            <w:pPr>
              <w:rPr>
                <w:rFonts w:ascii="Verdana" w:hAnsi="Verdana"/>
              </w:rPr>
            </w:pPr>
            <w:r w:rsidRPr="009A5E4E">
              <w:rPr>
                <w:rFonts w:ascii="Verdana" w:hAnsi="Verdana"/>
              </w:rPr>
              <w:t>14.9</w:t>
            </w:r>
          </w:p>
        </w:tc>
      </w:tr>
      <w:tr w:rsidR="009A5E4E" w:rsidRPr="009A5E4E" w14:paraId="2930FF8D" w14:textId="699D9539" w:rsidTr="009A5E4E">
        <w:tc>
          <w:tcPr>
            <w:tcW w:w="664" w:type="dxa"/>
          </w:tcPr>
          <w:p w14:paraId="1BFD5A05" w14:textId="77777777" w:rsidR="009A5E4E" w:rsidRPr="009A5E4E" w:rsidRDefault="009A5E4E" w:rsidP="006F3071">
            <w:pPr>
              <w:rPr>
                <w:rFonts w:ascii="Verdana" w:hAnsi="Verdana"/>
                <w:sz w:val="18"/>
                <w:szCs w:val="18"/>
              </w:rPr>
            </w:pPr>
            <w:r w:rsidRPr="009A5E4E">
              <w:rPr>
                <w:rFonts w:ascii="Verdana" w:hAnsi="Verdana"/>
                <w:sz w:val="18"/>
                <w:szCs w:val="18"/>
              </w:rPr>
              <w:t xml:space="preserve">Full-time </w:t>
            </w:r>
          </w:p>
        </w:tc>
        <w:tc>
          <w:tcPr>
            <w:tcW w:w="725" w:type="dxa"/>
          </w:tcPr>
          <w:p w14:paraId="3386E4A3" w14:textId="77777777" w:rsidR="009A5E4E" w:rsidRPr="009A5E4E" w:rsidRDefault="009A5E4E" w:rsidP="006F3071">
            <w:pPr>
              <w:rPr>
                <w:rFonts w:ascii="Verdana" w:hAnsi="Verdana"/>
              </w:rPr>
            </w:pPr>
            <w:r w:rsidRPr="009A5E4E">
              <w:rPr>
                <w:rFonts w:ascii="Verdana" w:hAnsi="Verdana"/>
              </w:rPr>
              <w:t>9.5</w:t>
            </w:r>
          </w:p>
        </w:tc>
        <w:tc>
          <w:tcPr>
            <w:tcW w:w="725" w:type="dxa"/>
          </w:tcPr>
          <w:p w14:paraId="58FE0C71" w14:textId="77777777" w:rsidR="009A5E4E" w:rsidRPr="009A5E4E" w:rsidRDefault="009A5E4E" w:rsidP="006F3071">
            <w:pPr>
              <w:rPr>
                <w:rFonts w:ascii="Verdana" w:hAnsi="Verdana"/>
              </w:rPr>
            </w:pPr>
            <w:r w:rsidRPr="009A5E4E">
              <w:rPr>
                <w:rFonts w:ascii="Verdana" w:hAnsi="Verdana"/>
              </w:rPr>
              <w:t>10.0</w:t>
            </w:r>
          </w:p>
        </w:tc>
        <w:tc>
          <w:tcPr>
            <w:tcW w:w="725" w:type="dxa"/>
          </w:tcPr>
          <w:p w14:paraId="253032FA" w14:textId="77777777" w:rsidR="009A5E4E" w:rsidRPr="009A5E4E" w:rsidRDefault="009A5E4E" w:rsidP="006F3071">
            <w:pPr>
              <w:rPr>
                <w:rFonts w:ascii="Verdana" w:hAnsi="Verdana"/>
              </w:rPr>
            </w:pPr>
            <w:r w:rsidRPr="009A5E4E">
              <w:rPr>
                <w:rFonts w:ascii="Verdana" w:hAnsi="Verdana"/>
              </w:rPr>
              <w:t>9.6</w:t>
            </w:r>
          </w:p>
        </w:tc>
        <w:tc>
          <w:tcPr>
            <w:tcW w:w="725" w:type="dxa"/>
          </w:tcPr>
          <w:p w14:paraId="45207830" w14:textId="77777777" w:rsidR="009A5E4E" w:rsidRPr="009A5E4E" w:rsidRDefault="009A5E4E" w:rsidP="006F3071">
            <w:pPr>
              <w:rPr>
                <w:rFonts w:ascii="Verdana" w:hAnsi="Verdana"/>
              </w:rPr>
            </w:pPr>
            <w:r w:rsidRPr="009A5E4E">
              <w:rPr>
                <w:rFonts w:ascii="Verdana" w:hAnsi="Verdana"/>
              </w:rPr>
              <w:t>9.6</w:t>
            </w:r>
          </w:p>
        </w:tc>
        <w:tc>
          <w:tcPr>
            <w:tcW w:w="725" w:type="dxa"/>
          </w:tcPr>
          <w:p w14:paraId="09AF9B56" w14:textId="77777777" w:rsidR="009A5E4E" w:rsidRPr="009A5E4E" w:rsidRDefault="009A5E4E" w:rsidP="006F3071">
            <w:pPr>
              <w:rPr>
                <w:rFonts w:ascii="Verdana" w:hAnsi="Verdana"/>
              </w:rPr>
            </w:pPr>
            <w:r w:rsidRPr="009A5E4E">
              <w:rPr>
                <w:rFonts w:ascii="Verdana" w:hAnsi="Verdana"/>
              </w:rPr>
              <w:t>9.4</w:t>
            </w:r>
          </w:p>
        </w:tc>
        <w:tc>
          <w:tcPr>
            <w:tcW w:w="725" w:type="dxa"/>
          </w:tcPr>
          <w:p w14:paraId="30E6FA2D" w14:textId="77777777" w:rsidR="009A5E4E" w:rsidRPr="009A5E4E" w:rsidRDefault="009A5E4E" w:rsidP="006F3071">
            <w:pPr>
              <w:rPr>
                <w:rFonts w:ascii="Verdana" w:hAnsi="Verdana"/>
              </w:rPr>
            </w:pPr>
            <w:r w:rsidRPr="009A5E4E">
              <w:rPr>
                <w:rFonts w:ascii="Verdana" w:hAnsi="Verdana"/>
              </w:rPr>
              <w:t>9.1</w:t>
            </w:r>
          </w:p>
        </w:tc>
        <w:tc>
          <w:tcPr>
            <w:tcW w:w="725" w:type="dxa"/>
          </w:tcPr>
          <w:p w14:paraId="28185236" w14:textId="77777777" w:rsidR="009A5E4E" w:rsidRPr="009A5E4E" w:rsidRDefault="009A5E4E" w:rsidP="006F3071">
            <w:pPr>
              <w:rPr>
                <w:rFonts w:ascii="Verdana" w:hAnsi="Verdana"/>
              </w:rPr>
            </w:pPr>
            <w:r w:rsidRPr="009A5E4E">
              <w:rPr>
                <w:rFonts w:ascii="Verdana" w:hAnsi="Verdana"/>
              </w:rPr>
              <w:t>8.6</w:t>
            </w:r>
          </w:p>
        </w:tc>
        <w:tc>
          <w:tcPr>
            <w:tcW w:w="725" w:type="dxa"/>
          </w:tcPr>
          <w:p w14:paraId="4816AE7E" w14:textId="28FABF57" w:rsidR="009A5E4E" w:rsidRPr="009A5E4E" w:rsidRDefault="009A5E4E" w:rsidP="006F3071">
            <w:pPr>
              <w:rPr>
                <w:rFonts w:ascii="Verdana" w:hAnsi="Verdana"/>
              </w:rPr>
            </w:pPr>
            <w:r w:rsidRPr="009A5E4E">
              <w:rPr>
                <w:rFonts w:ascii="Verdana" w:hAnsi="Verdana"/>
              </w:rPr>
              <w:t>9.0</w:t>
            </w:r>
          </w:p>
        </w:tc>
        <w:tc>
          <w:tcPr>
            <w:tcW w:w="725" w:type="dxa"/>
          </w:tcPr>
          <w:p w14:paraId="63468845" w14:textId="06D90D44" w:rsidR="009A5E4E" w:rsidRPr="009A5E4E" w:rsidRDefault="009A5E4E" w:rsidP="006F3071">
            <w:pPr>
              <w:rPr>
                <w:rFonts w:ascii="Verdana" w:hAnsi="Verdana"/>
              </w:rPr>
            </w:pPr>
            <w:r w:rsidRPr="009A5E4E">
              <w:rPr>
                <w:rFonts w:ascii="Verdana" w:hAnsi="Verdana"/>
              </w:rPr>
              <w:t>7.0</w:t>
            </w:r>
          </w:p>
        </w:tc>
        <w:tc>
          <w:tcPr>
            <w:tcW w:w="725" w:type="dxa"/>
          </w:tcPr>
          <w:p w14:paraId="24A0EED1" w14:textId="1BE1466E" w:rsidR="009A5E4E" w:rsidRPr="009A5E4E" w:rsidRDefault="009A5E4E" w:rsidP="006F3071">
            <w:pPr>
              <w:rPr>
                <w:rFonts w:ascii="Verdana" w:hAnsi="Verdana"/>
              </w:rPr>
            </w:pPr>
            <w:r w:rsidRPr="009A5E4E">
              <w:rPr>
                <w:rFonts w:ascii="Verdana" w:hAnsi="Verdana"/>
              </w:rPr>
              <w:t>7.7</w:t>
            </w:r>
          </w:p>
        </w:tc>
        <w:tc>
          <w:tcPr>
            <w:tcW w:w="725" w:type="dxa"/>
          </w:tcPr>
          <w:p w14:paraId="5D729564" w14:textId="0B7D75C7" w:rsidR="009A5E4E" w:rsidRPr="009A5E4E" w:rsidRDefault="009A5E4E" w:rsidP="006F3071">
            <w:pPr>
              <w:rPr>
                <w:rFonts w:ascii="Verdana" w:hAnsi="Verdana"/>
              </w:rPr>
            </w:pPr>
            <w:r w:rsidRPr="009A5E4E">
              <w:rPr>
                <w:rFonts w:ascii="Verdana" w:hAnsi="Verdana"/>
              </w:rPr>
              <w:t>8.3</w:t>
            </w:r>
          </w:p>
        </w:tc>
      </w:tr>
    </w:tbl>
    <w:p w14:paraId="57C88DA7" w14:textId="3C59CBFD" w:rsidR="00511C66" w:rsidRDefault="00511C66" w:rsidP="00070DD8">
      <w:pPr>
        <w:spacing w:after="0"/>
        <w:rPr>
          <w:rFonts w:ascii="Verdana" w:hAnsi="Verdana"/>
        </w:rPr>
      </w:pPr>
    </w:p>
    <w:p w14:paraId="6CD34DB4" w14:textId="79CF1A6A" w:rsidR="003514F3" w:rsidRPr="00072B2D" w:rsidRDefault="00F44D8A" w:rsidP="00F44D8A">
      <w:pPr>
        <w:rPr>
          <w:rFonts w:ascii="Verdana" w:hAnsi="Verdana"/>
        </w:rPr>
      </w:pPr>
      <w:r w:rsidRPr="00072B2D">
        <w:rPr>
          <w:rFonts w:ascii="Verdana" w:hAnsi="Verdana"/>
        </w:rPr>
        <w:lastRenderedPageBreak/>
        <w:t xml:space="preserve">There are </w:t>
      </w:r>
      <w:proofErr w:type="gramStart"/>
      <w:r w:rsidRPr="00072B2D">
        <w:rPr>
          <w:rFonts w:ascii="Verdana" w:hAnsi="Verdana"/>
        </w:rPr>
        <w:t>a number of</w:t>
      </w:r>
      <w:proofErr w:type="gramEnd"/>
      <w:r w:rsidRPr="00072B2D">
        <w:rPr>
          <w:rFonts w:ascii="Verdana" w:hAnsi="Verdana"/>
        </w:rPr>
        <w:t xml:space="preserve"> </w:t>
      </w:r>
      <w:r w:rsidR="003B56DC" w:rsidRPr="00072B2D">
        <w:rPr>
          <w:rFonts w:ascii="Verdana" w:hAnsi="Verdana"/>
        </w:rPr>
        <w:t xml:space="preserve">factors </w:t>
      </w:r>
      <w:r w:rsidRPr="00072B2D">
        <w:rPr>
          <w:rFonts w:ascii="Verdana" w:hAnsi="Verdana"/>
        </w:rPr>
        <w:t>c</w:t>
      </w:r>
      <w:r w:rsidR="003B56DC" w:rsidRPr="00072B2D">
        <w:rPr>
          <w:rFonts w:ascii="Verdana" w:hAnsi="Verdana"/>
        </w:rPr>
        <w:t xml:space="preserve">ontributing </w:t>
      </w:r>
      <w:r w:rsidRPr="00072B2D">
        <w:rPr>
          <w:rFonts w:ascii="Verdana" w:hAnsi="Verdana"/>
        </w:rPr>
        <w:t xml:space="preserve">to the </w:t>
      </w:r>
      <w:r w:rsidR="00127D15">
        <w:rPr>
          <w:rFonts w:ascii="Verdana" w:hAnsi="Verdana"/>
        </w:rPr>
        <w:t xml:space="preserve">UK </w:t>
      </w:r>
      <w:r w:rsidRPr="00072B2D">
        <w:rPr>
          <w:rFonts w:ascii="Verdana" w:hAnsi="Verdana"/>
        </w:rPr>
        <w:t>gender pay gap</w:t>
      </w:r>
      <w:r w:rsidR="004849D4" w:rsidRPr="00072B2D">
        <w:rPr>
          <w:rFonts w:ascii="Verdana" w:hAnsi="Verdana"/>
        </w:rPr>
        <w:t xml:space="preserve"> and these include: </w:t>
      </w:r>
      <w:r w:rsidR="00E6783A" w:rsidRPr="00072B2D">
        <w:rPr>
          <w:rFonts w:ascii="Verdana" w:hAnsi="Verdana"/>
        </w:rPr>
        <w:t xml:space="preserve"> </w:t>
      </w:r>
    </w:p>
    <w:p w14:paraId="058ECD4F" w14:textId="77777777" w:rsidR="00F44D8A" w:rsidRPr="00072B2D" w:rsidRDefault="00F44D8A" w:rsidP="00BB3BC5">
      <w:pPr>
        <w:pStyle w:val="ListParagraph"/>
        <w:numPr>
          <w:ilvl w:val="0"/>
          <w:numId w:val="1"/>
        </w:numPr>
        <w:rPr>
          <w:rFonts w:ascii="Verdana" w:hAnsi="Verdana"/>
        </w:rPr>
      </w:pPr>
      <w:r w:rsidRPr="00072B2D">
        <w:rPr>
          <w:rFonts w:ascii="Verdana" w:hAnsi="Verdana"/>
        </w:rPr>
        <w:t>A higher proportion of males working in senior positions</w:t>
      </w:r>
    </w:p>
    <w:p w14:paraId="526715FB" w14:textId="708F195A" w:rsidR="00F44D8A" w:rsidRPr="00072B2D" w:rsidRDefault="00F44D8A" w:rsidP="00BB3BC5">
      <w:pPr>
        <w:pStyle w:val="ListParagraph"/>
        <w:numPr>
          <w:ilvl w:val="0"/>
          <w:numId w:val="1"/>
        </w:numPr>
        <w:rPr>
          <w:rFonts w:ascii="Verdana" w:hAnsi="Verdana"/>
        </w:rPr>
      </w:pPr>
      <w:r w:rsidRPr="00072B2D">
        <w:rPr>
          <w:rFonts w:ascii="Verdana" w:hAnsi="Verdana"/>
        </w:rPr>
        <w:t>A higher proportion of females working in part-time roles (therefore normally earning less than their full-time colleagues)</w:t>
      </w:r>
    </w:p>
    <w:p w14:paraId="57C3268F" w14:textId="77777777" w:rsidR="00F44D8A" w:rsidRPr="00072B2D" w:rsidRDefault="00F44D8A" w:rsidP="00BB3BC5">
      <w:pPr>
        <w:pStyle w:val="ListParagraph"/>
        <w:numPr>
          <w:ilvl w:val="0"/>
          <w:numId w:val="1"/>
        </w:numPr>
        <w:rPr>
          <w:rFonts w:ascii="Verdana" w:hAnsi="Verdana"/>
        </w:rPr>
      </w:pPr>
      <w:r w:rsidRPr="00072B2D">
        <w:rPr>
          <w:rFonts w:ascii="Verdana" w:hAnsi="Verdana"/>
        </w:rPr>
        <w:t>Skills gap, lack of training and development opportunities</w:t>
      </w:r>
    </w:p>
    <w:p w14:paraId="74AB16C2" w14:textId="77777777" w:rsidR="003B56DC" w:rsidRPr="00072B2D" w:rsidRDefault="003B56DC" w:rsidP="00BB3BC5">
      <w:pPr>
        <w:pStyle w:val="ListParagraph"/>
        <w:numPr>
          <w:ilvl w:val="0"/>
          <w:numId w:val="1"/>
        </w:numPr>
        <w:rPr>
          <w:rFonts w:ascii="Verdana" w:hAnsi="Verdana"/>
        </w:rPr>
      </w:pPr>
      <w:r w:rsidRPr="00072B2D">
        <w:rPr>
          <w:rFonts w:ascii="Verdana" w:hAnsi="Verdana"/>
        </w:rPr>
        <w:t xml:space="preserve">Occupational segregation </w:t>
      </w:r>
    </w:p>
    <w:p w14:paraId="6295165F" w14:textId="77777777" w:rsidR="00F44D8A" w:rsidRPr="00072B2D" w:rsidRDefault="00F44D8A" w:rsidP="00BB3BC5">
      <w:pPr>
        <w:pStyle w:val="ListParagraph"/>
        <w:numPr>
          <w:ilvl w:val="0"/>
          <w:numId w:val="1"/>
        </w:numPr>
        <w:rPr>
          <w:rFonts w:ascii="Verdana" w:hAnsi="Verdana"/>
        </w:rPr>
      </w:pPr>
      <w:r w:rsidRPr="00072B2D">
        <w:rPr>
          <w:rFonts w:ascii="Verdana" w:hAnsi="Verdana"/>
        </w:rPr>
        <w:t>Lack of role models</w:t>
      </w:r>
    </w:p>
    <w:p w14:paraId="0C882B22" w14:textId="52AFA04C" w:rsidR="00F44D8A" w:rsidRPr="00072B2D" w:rsidRDefault="00F44D8A" w:rsidP="00BB3BC5">
      <w:pPr>
        <w:pStyle w:val="ListParagraph"/>
        <w:numPr>
          <w:ilvl w:val="0"/>
          <w:numId w:val="1"/>
        </w:numPr>
        <w:rPr>
          <w:rFonts w:ascii="Verdana" w:hAnsi="Verdana"/>
        </w:rPr>
      </w:pPr>
      <w:r w:rsidRPr="00072B2D">
        <w:rPr>
          <w:rFonts w:ascii="Verdana" w:hAnsi="Verdana"/>
        </w:rPr>
        <w:t>Family, childcare</w:t>
      </w:r>
      <w:r w:rsidR="00571CBC" w:rsidRPr="00072B2D">
        <w:rPr>
          <w:rFonts w:ascii="Verdana" w:hAnsi="Verdana"/>
        </w:rPr>
        <w:t xml:space="preserve">, </w:t>
      </w:r>
      <w:proofErr w:type="gramStart"/>
      <w:r w:rsidR="00571CBC" w:rsidRPr="00072B2D">
        <w:rPr>
          <w:rFonts w:ascii="Verdana" w:hAnsi="Verdana"/>
        </w:rPr>
        <w:t>home-schooling</w:t>
      </w:r>
      <w:proofErr w:type="gramEnd"/>
      <w:r w:rsidRPr="00072B2D">
        <w:rPr>
          <w:rFonts w:ascii="Verdana" w:hAnsi="Verdana"/>
        </w:rPr>
        <w:t xml:space="preserve"> and caring commitments</w:t>
      </w:r>
    </w:p>
    <w:p w14:paraId="5EEB6B0D" w14:textId="77777777" w:rsidR="00F44D8A" w:rsidRPr="00072B2D" w:rsidRDefault="00F44D8A" w:rsidP="00BB3BC5">
      <w:pPr>
        <w:pStyle w:val="ListParagraph"/>
        <w:numPr>
          <w:ilvl w:val="0"/>
          <w:numId w:val="1"/>
        </w:numPr>
        <w:rPr>
          <w:rFonts w:ascii="Verdana" w:hAnsi="Verdana"/>
        </w:rPr>
      </w:pPr>
      <w:r w:rsidRPr="00072B2D">
        <w:rPr>
          <w:rFonts w:ascii="Verdana" w:hAnsi="Verdana"/>
        </w:rPr>
        <w:t>Lack of opportunities for flexible working</w:t>
      </w:r>
    </w:p>
    <w:p w14:paraId="0876B84E" w14:textId="77777777" w:rsidR="00F44D8A" w:rsidRPr="00072B2D" w:rsidRDefault="00F44D8A" w:rsidP="00BB3BC5">
      <w:pPr>
        <w:pStyle w:val="ListParagraph"/>
        <w:numPr>
          <w:ilvl w:val="0"/>
          <w:numId w:val="1"/>
        </w:numPr>
        <w:rPr>
          <w:rFonts w:ascii="Verdana" w:hAnsi="Verdana"/>
        </w:rPr>
      </w:pPr>
      <w:r w:rsidRPr="00072B2D">
        <w:rPr>
          <w:rFonts w:ascii="Verdana" w:hAnsi="Verdana"/>
        </w:rPr>
        <w:t>Attitude and culture</w:t>
      </w:r>
    </w:p>
    <w:p w14:paraId="4D892F00" w14:textId="15F9A461" w:rsidR="00CA2397" w:rsidRPr="00072B2D" w:rsidRDefault="00F44D8A" w:rsidP="002378AB">
      <w:pPr>
        <w:pStyle w:val="ListParagraph"/>
        <w:numPr>
          <w:ilvl w:val="0"/>
          <w:numId w:val="1"/>
        </w:numPr>
        <w:spacing w:after="0"/>
        <w:rPr>
          <w:rFonts w:ascii="Verdana" w:hAnsi="Verdana"/>
        </w:rPr>
      </w:pPr>
      <w:r w:rsidRPr="00072B2D">
        <w:rPr>
          <w:rFonts w:ascii="Verdana" w:hAnsi="Verdana"/>
        </w:rPr>
        <w:t>Confidence</w:t>
      </w:r>
    </w:p>
    <w:p w14:paraId="3D1ACEF0" w14:textId="670DFD9F" w:rsidR="00D405C5" w:rsidRPr="00072B2D" w:rsidRDefault="00D405C5" w:rsidP="00D405C5">
      <w:pPr>
        <w:spacing w:after="0"/>
        <w:rPr>
          <w:rFonts w:ascii="Verdana" w:hAnsi="Verdana"/>
        </w:rPr>
      </w:pPr>
    </w:p>
    <w:p w14:paraId="28C092B3" w14:textId="71922E2D" w:rsidR="00B21EF4" w:rsidRPr="00B83300" w:rsidRDefault="00162BE1" w:rsidP="00CB0ECF">
      <w:pPr>
        <w:spacing w:after="0"/>
        <w:rPr>
          <w:rFonts w:ascii="Verdana" w:hAnsi="Verdana"/>
        </w:rPr>
      </w:pPr>
      <w:r w:rsidRPr="00B83300">
        <w:rPr>
          <w:rFonts w:ascii="Verdana" w:hAnsi="Verdana"/>
        </w:rPr>
        <w:t>T</w:t>
      </w:r>
      <w:r w:rsidR="005A7971" w:rsidRPr="00B83300">
        <w:rPr>
          <w:rFonts w:ascii="Verdana" w:hAnsi="Verdana"/>
        </w:rPr>
        <w:t>h</w:t>
      </w:r>
      <w:r w:rsidRPr="00B83300">
        <w:rPr>
          <w:rFonts w:ascii="Verdana" w:hAnsi="Verdana"/>
        </w:rPr>
        <w:t>is</w:t>
      </w:r>
      <w:r w:rsidR="005A7971" w:rsidRPr="00B83300">
        <w:rPr>
          <w:rFonts w:ascii="Verdana" w:hAnsi="Verdana"/>
        </w:rPr>
        <w:t xml:space="preserve"> gender pay gap </w:t>
      </w:r>
      <w:r w:rsidRPr="00B83300">
        <w:rPr>
          <w:rFonts w:ascii="Verdana" w:hAnsi="Verdana"/>
        </w:rPr>
        <w:t xml:space="preserve">is based on data </w:t>
      </w:r>
      <w:r w:rsidR="00682EAF" w:rsidRPr="00B83300">
        <w:rPr>
          <w:rFonts w:ascii="Verdana" w:hAnsi="Verdana"/>
        </w:rPr>
        <w:t>at</w:t>
      </w:r>
      <w:r w:rsidRPr="00B83300">
        <w:rPr>
          <w:rFonts w:ascii="Verdana" w:hAnsi="Verdana"/>
        </w:rPr>
        <w:t xml:space="preserve"> the snapshot date of 31 March 202</w:t>
      </w:r>
      <w:r w:rsidR="00B83300" w:rsidRPr="00B83300">
        <w:rPr>
          <w:rFonts w:ascii="Verdana" w:hAnsi="Verdana"/>
        </w:rPr>
        <w:t>2</w:t>
      </w:r>
      <w:r w:rsidRPr="00B83300">
        <w:rPr>
          <w:rFonts w:ascii="Verdana" w:hAnsi="Verdana"/>
        </w:rPr>
        <w:t>, which for</w:t>
      </w:r>
      <w:r w:rsidR="008855D8" w:rsidRPr="00B83300">
        <w:rPr>
          <w:rFonts w:ascii="Verdana" w:hAnsi="Verdana"/>
        </w:rPr>
        <w:t xml:space="preserve"> the Service in</w:t>
      </w:r>
      <w:r w:rsidRPr="00B83300">
        <w:rPr>
          <w:rFonts w:ascii="Verdana" w:hAnsi="Verdana"/>
        </w:rPr>
        <w:t xml:space="preserve"> 202</w:t>
      </w:r>
      <w:r w:rsidR="00B83300" w:rsidRPr="00B83300">
        <w:rPr>
          <w:rFonts w:ascii="Verdana" w:hAnsi="Verdana"/>
        </w:rPr>
        <w:t>2</w:t>
      </w:r>
      <w:r w:rsidR="00B21EF4" w:rsidRPr="00B83300">
        <w:rPr>
          <w:rFonts w:ascii="Verdana" w:hAnsi="Verdana"/>
        </w:rPr>
        <w:t xml:space="preserve"> has decreased </w:t>
      </w:r>
      <w:r w:rsidR="00B83300" w:rsidRPr="00B83300">
        <w:rPr>
          <w:rFonts w:ascii="Verdana" w:hAnsi="Verdana"/>
        </w:rPr>
        <w:t xml:space="preserve">by 0.4 </w:t>
      </w:r>
      <w:r w:rsidR="00B21EF4" w:rsidRPr="00B83300">
        <w:rPr>
          <w:rFonts w:ascii="Verdana" w:hAnsi="Verdana"/>
        </w:rPr>
        <w:t>percentage points to 13.</w:t>
      </w:r>
      <w:r w:rsidR="00B83300" w:rsidRPr="00B83300">
        <w:rPr>
          <w:rFonts w:ascii="Verdana" w:hAnsi="Verdana"/>
        </w:rPr>
        <w:t>4</w:t>
      </w:r>
      <w:r w:rsidR="00B21EF4" w:rsidRPr="00B83300">
        <w:rPr>
          <w:rFonts w:ascii="Verdana" w:hAnsi="Verdana"/>
        </w:rPr>
        <w:t xml:space="preserve"> per cent</w:t>
      </w:r>
      <w:r w:rsidR="00CB0ECF" w:rsidRPr="00B83300">
        <w:rPr>
          <w:rFonts w:ascii="Verdana" w:hAnsi="Verdana"/>
        </w:rPr>
        <w:t xml:space="preserve"> (</w:t>
      </w:r>
      <w:r w:rsidR="00B83300" w:rsidRPr="00B83300">
        <w:rPr>
          <w:rFonts w:ascii="Verdana" w:hAnsi="Verdana"/>
        </w:rPr>
        <w:t>13.8</w:t>
      </w:r>
      <w:r w:rsidR="00CB0ECF" w:rsidRPr="00B83300">
        <w:rPr>
          <w:rFonts w:ascii="Verdana" w:hAnsi="Verdana"/>
        </w:rPr>
        <w:t xml:space="preserve"> per cent in 202</w:t>
      </w:r>
      <w:r w:rsidR="00B83300" w:rsidRPr="00B83300">
        <w:rPr>
          <w:rFonts w:ascii="Verdana" w:hAnsi="Verdana"/>
        </w:rPr>
        <w:t>1</w:t>
      </w:r>
      <w:r w:rsidR="00CB0ECF" w:rsidRPr="00B83300">
        <w:rPr>
          <w:rFonts w:ascii="Verdana" w:hAnsi="Verdana"/>
        </w:rPr>
        <w:t>)</w:t>
      </w:r>
      <w:r w:rsidR="00C12707" w:rsidRPr="00B83300">
        <w:rPr>
          <w:rFonts w:ascii="Verdana" w:hAnsi="Verdana"/>
        </w:rPr>
        <w:t>, and 6</w:t>
      </w:r>
      <w:r w:rsidR="001A2D8C">
        <w:rPr>
          <w:rFonts w:ascii="Verdana" w:hAnsi="Verdana"/>
        </w:rPr>
        <w:t>.0</w:t>
      </w:r>
      <w:r w:rsidR="00C12707" w:rsidRPr="00B83300">
        <w:rPr>
          <w:rFonts w:ascii="Verdana" w:hAnsi="Verdana"/>
        </w:rPr>
        <w:t xml:space="preserve"> percentage points from the first year of reporting (19.4 per cent in 2017). This is positive and takes the Service 1.</w:t>
      </w:r>
      <w:r w:rsidR="00B83300" w:rsidRPr="00B83300">
        <w:rPr>
          <w:rFonts w:ascii="Verdana" w:hAnsi="Verdana"/>
        </w:rPr>
        <w:t>5</w:t>
      </w:r>
      <w:r w:rsidR="00C12707" w:rsidRPr="00B83300">
        <w:rPr>
          <w:rFonts w:ascii="Verdana" w:hAnsi="Verdana"/>
        </w:rPr>
        <w:t xml:space="preserve"> percentage points below the UK average gender pay gap of 1</w:t>
      </w:r>
      <w:r w:rsidR="00B83300" w:rsidRPr="00B83300">
        <w:rPr>
          <w:rFonts w:ascii="Verdana" w:hAnsi="Verdana"/>
        </w:rPr>
        <w:t>4</w:t>
      </w:r>
      <w:r w:rsidR="00C12707" w:rsidRPr="00B83300">
        <w:rPr>
          <w:rFonts w:ascii="Verdana" w:hAnsi="Verdana"/>
        </w:rPr>
        <w:t>.</w:t>
      </w:r>
      <w:r w:rsidR="00B83300" w:rsidRPr="00B83300">
        <w:rPr>
          <w:rFonts w:ascii="Verdana" w:hAnsi="Verdana"/>
        </w:rPr>
        <w:t>9</w:t>
      </w:r>
      <w:r w:rsidR="00C12707" w:rsidRPr="00B83300">
        <w:rPr>
          <w:rFonts w:ascii="Verdana" w:hAnsi="Verdana"/>
        </w:rPr>
        <w:t xml:space="preserve"> per cent for 202</w:t>
      </w:r>
      <w:r w:rsidR="00B83300" w:rsidRPr="00B83300">
        <w:rPr>
          <w:rFonts w:ascii="Verdana" w:hAnsi="Verdana"/>
        </w:rPr>
        <w:t>2</w:t>
      </w:r>
      <w:r w:rsidR="00C12707" w:rsidRPr="00B83300">
        <w:rPr>
          <w:rFonts w:ascii="Verdana" w:hAnsi="Verdana"/>
        </w:rPr>
        <w:t>.</w:t>
      </w:r>
      <w:r w:rsidR="00306537">
        <w:rPr>
          <w:rFonts w:ascii="Verdana" w:hAnsi="Verdana"/>
        </w:rPr>
        <w:t xml:space="preserve"> </w:t>
      </w:r>
      <w:r w:rsidR="00C12707" w:rsidRPr="00B83300">
        <w:rPr>
          <w:rFonts w:ascii="Verdana" w:hAnsi="Verdana"/>
        </w:rPr>
        <w:t xml:space="preserve"> </w:t>
      </w:r>
    </w:p>
    <w:p w14:paraId="690C53FD" w14:textId="554C15CC" w:rsidR="002F6811" w:rsidRPr="00BF19A5" w:rsidRDefault="003B1964" w:rsidP="00E469FF">
      <w:pPr>
        <w:spacing w:before="240"/>
        <w:rPr>
          <w:rFonts w:ascii="Verdana" w:hAnsi="Verdana"/>
          <w:color w:val="FF0000"/>
        </w:rPr>
      </w:pPr>
      <w:r w:rsidRPr="003B1964">
        <w:rPr>
          <w:rFonts w:ascii="Verdana" w:hAnsi="Verdana"/>
        </w:rPr>
        <w:t>Th</w:t>
      </w:r>
      <w:r w:rsidR="00067246" w:rsidRPr="003B1964">
        <w:rPr>
          <w:rFonts w:ascii="Verdana" w:hAnsi="Verdana"/>
        </w:rPr>
        <w:t xml:space="preserve">e Service </w:t>
      </w:r>
      <w:r w:rsidRPr="003B1964">
        <w:rPr>
          <w:rFonts w:ascii="Verdana" w:hAnsi="Verdana"/>
        </w:rPr>
        <w:t xml:space="preserve">has </w:t>
      </w:r>
      <w:r w:rsidR="00067246" w:rsidRPr="003B1964">
        <w:rPr>
          <w:rFonts w:ascii="Verdana" w:hAnsi="Verdana"/>
        </w:rPr>
        <w:t xml:space="preserve">identified </w:t>
      </w:r>
      <w:proofErr w:type="gramStart"/>
      <w:r w:rsidR="00F669C5" w:rsidRPr="003B1964">
        <w:rPr>
          <w:rFonts w:ascii="Verdana" w:hAnsi="Verdana"/>
        </w:rPr>
        <w:t>a number of</w:t>
      </w:r>
      <w:proofErr w:type="gramEnd"/>
      <w:r w:rsidR="00F669C5" w:rsidRPr="003B1964">
        <w:rPr>
          <w:rFonts w:ascii="Verdana" w:hAnsi="Verdana"/>
        </w:rPr>
        <w:t xml:space="preserve"> key areas of activity to lower the gender pay gap. </w:t>
      </w:r>
      <w:r w:rsidR="00E469FF">
        <w:rPr>
          <w:rFonts w:ascii="Verdana" w:hAnsi="Verdana"/>
        </w:rPr>
        <w:t xml:space="preserve">The Service’s action plan on addressing </w:t>
      </w:r>
      <w:r w:rsidR="00501137">
        <w:rPr>
          <w:rFonts w:ascii="Verdana" w:hAnsi="Verdana"/>
        </w:rPr>
        <w:t xml:space="preserve">the </w:t>
      </w:r>
      <w:r w:rsidR="00E469FF">
        <w:rPr>
          <w:rFonts w:ascii="Verdana" w:hAnsi="Verdana"/>
        </w:rPr>
        <w:t>gender pay gap is detailed from page</w:t>
      </w:r>
      <w:r w:rsidR="003514F3">
        <w:rPr>
          <w:rFonts w:ascii="Verdana" w:hAnsi="Verdana"/>
        </w:rPr>
        <w:t xml:space="preserve"> </w:t>
      </w:r>
      <w:r w:rsidR="003514F3" w:rsidRPr="00B83300">
        <w:rPr>
          <w:rFonts w:ascii="Verdana" w:hAnsi="Verdana"/>
        </w:rPr>
        <w:t>1</w:t>
      </w:r>
      <w:r w:rsidR="00B83300" w:rsidRPr="00B83300">
        <w:rPr>
          <w:rFonts w:ascii="Verdana" w:hAnsi="Verdana"/>
        </w:rPr>
        <w:t>4</w:t>
      </w:r>
      <w:r w:rsidR="00E469FF" w:rsidRPr="00B83300">
        <w:rPr>
          <w:rFonts w:ascii="Verdana" w:hAnsi="Verdana"/>
        </w:rPr>
        <w:t xml:space="preserve"> </w:t>
      </w:r>
      <w:r w:rsidR="00E469FF">
        <w:rPr>
          <w:rFonts w:ascii="Verdana" w:hAnsi="Verdana"/>
        </w:rPr>
        <w:t xml:space="preserve">of this report. </w:t>
      </w:r>
      <w:r w:rsidR="00E469FF" w:rsidRPr="003B1964">
        <w:rPr>
          <w:rFonts w:ascii="Verdana" w:hAnsi="Verdana"/>
        </w:rPr>
        <w:t xml:space="preserve">Whilst the foundations for improvement have been laid through these initiatives, it </w:t>
      </w:r>
      <w:r w:rsidR="001A2D8C">
        <w:rPr>
          <w:rFonts w:ascii="Verdana" w:hAnsi="Verdana"/>
        </w:rPr>
        <w:t>is likely to</w:t>
      </w:r>
      <w:r w:rsidR="00E469FF" w:rsidRPr="003B1964">
        <w:rPr>
          <w:rFonts w:ascii="Verdana" w:hAnsi="Verdana"/>
        </w:rPr>
        <w:t xml:space="preserve"> be several years before </w:t>
      </w:r>
      <w:r w:rsidR="00501137">
        <w:rPr>
          <w:rFonts w:ascii="Verdana" w:hAnsi="Verdana"/>
        </w:rPr>
        <w:t xml:space="preserve">there is </w:t>
      </w:r>
      <w:r w:rsidR="00E469FF">
        <w:rPr>
          <w:rFonts w:ascii="Verdana" w:hAnsi="Verdana"/>
        </w:rPr>
        <w:t xml:space="preserve">any significant </w:t>
      </w:r>
      <w:r w:rsidR="00CB0ECF">
        <w:rPr>
          <w:rFonts w:ascii="Verdana" w:hAnsi="Verdana"/>
        </w:rPr>
        <w:t xml:space="preserve">and sustained </w:t>
      </w:r>
      <w:r w:rsidR="00E469FF">
        <w:rPr>
          <w:rFonts w:ascii="Verdana" w:hAnsi="Verdana"/>
        </w:rPr>
        <w:t>i</w:t>
      </w:r>
      <w:r w:rsidR="00E469FF" w:rsidRPr="003B1964">
        <w:rPr>
          <w:rFonts w:ascii="Verdana" w:hAnsi="Verdana"/>
        </w:rPr>
        <w:t>mpact</w:t>
      </w:r>
      <w:r w:rsidR="00E469FF">
        <w:rPr>
          <w:rFonts w:ascii="Verdana" w:hAnsi="Verdana"/>
        </w:rPr>
        <w:t xml:space="preserve"> </w:t>
      </w:r>
      <w:r w:rsidR="00E469FF" w:rsidRPr="003B1964">
        <w:rPr>
          <w:rFonts w:ascii="Verdana" w:hAnsi="Verdana"/>
        </w:rPr>
        <w:t>on gender parity within pay</w:t>
      </w:r>
      <w:r w:rsidR="00EC1C90">
        <w:rPr>
          <w:rFonts w:ascii="Verdana" w:hAnsi="Verdana"/>
        </w:rPr>
        <w:t>.</w:t>
      </w:r>
    </w:p>
    <w:p w14:paraId="3D723CCB" w14:textId="77777777" w:rsidR="001A2D8C" w:rsidRDefault="001A2D8C" w:rsidP="001A2D8C">
      <w:pPr>
        <w:spacing w:after="0"/>
        <w:rPr>
          <w:rFonts w:ascii="Verdana" w:hAnsi="Verdana"/>
          <w:b/>
          <w:sz w:val="24"/>
          <w:szCs w:val="24"/>
        </w:rPr>
      </w:pPr>
    </w:p>
    <w:p w14:paraId="08666392" w14:textId="62ED1CAE" w:rsidR="00F44D8A" w:rsidRPr="006F3071" w:rsidRDefault="00AB69AF" w:rsidP="00BE4F68">
      <w:pPr>
        <w:rPr>
          <w:rFonts w:ascii="Verdana" w:hAnsi="Verdana"/>
          <w:b/>
          <w:sz w:val="24"/>
          <w:szCs w:val="24"/>
        </w:rPr>
      </w:pPr>
      <w:r>
        <w:rPr>
          <w:rFonts w:ascii="Verdana" w:hAnsi="Verdana"/>
          <w:b/>
          <w:sz w:val="24"/>
          <w:szCs w:val="24"/>
        </w:rPr>
        <w:t>D</w:t>
      </w:r>
      <w:r w:rsidR="00F22997" w:rsidRPr="006F3071">
        <w:rPr>
          <w:rFonts w:ascii="Verdana" w:hAnsi="Verdana"/>
          <w:b/>
          <w:sz w:val="24"/>
          <w:szCs w:val="24"/>
        </w:rPr>
        <w:t>ifferent to equal pay</w:t>
      </w:r>
      <w:r w:rsidR="00FF6D73">
        <w:rPr>
          <w:rFonts w:ascii="Verdana" w:hAnsi="Verdana"/>
          <w:b/>
          <w:sz w:val="24"/>
          <w:szCs w:val="24"/>
        </w:rPr>
        <w:t xml:space="preserve"> </w:t>
      </w:r>
    </w:p>
    <w:p w14:paraId="5B068525" w14:textId="77777777" w:rsidR="00F22997" w:rsidRPr="00F22997" w:rsidRDefault="00F22997" w:rsidP="00F22997">
      <w:pPr>
        <w:rPr>
          <w:rFonts w:ascii="Verdana" w:hAnsi="Verdana"/>
        </w:rPr>
      </w:pPr>
      <w:r w:rsidRPr="00F22997">
        <w:rPr>
          <w:rFonts w:ascii="Verdana" w:hAnsi="Verdana"/>
        </w:rPr>
        <w:t>Whilst both gender pay and equal pay deal with the disparity of pay females receive within the workplace, it is important to note that the gender pay gap is different to equal pay.</w:t>
      </w:r>
    </w:p>
    <w:p w14:paraId="242EC39F" w14:textId="77777777" w:rsidR="00F22997" w:rsidRPr="00F22997" w:rsidRDefault="00F22997" w:rsidP="00F22997">
      <w:pPr>
        <w:rPr>
          <w:rFonts w:ascii="Verdana" w:hAnsi="Verdana"/>
        </w:rPr>
      </w:pPr>
      <w:r w:rsidRPr="00F22997">
        <w:rPr>
          <w:rFonts w:ascii="Verdana" w:hAnsi="Verdana"/>
        </w:rPr>
        <w:t xml:space="preserve">The principle of equal pay is that males and females who carry out the same job, similar </w:t>
      </w:r>
      <w:proofErr w:type="gramStart"/>
      <w:r w:rsidRPr="00F22997">
        <w:rPr>
          <w:rFonts w:ascii="Verdana" w:hAnsi="Verdana"/>
        </w:rPr>
        <w:t>jobs</w:t>
      </w:r>
      <w:proofErr w:type="gramEnd"/>
      <w:r w:rsidRPr="00F22997">
        <w:rPr>
          <w:rFonts w:ascii="Verdana" w:hAnsi="Verdana"/>
        </w:rPr>
        <w:t xml:space="preserve"> or work of equal value, as set out in the Equality Act 2010, should receive equal pay</w:t>
      </w:r>
      <w:r w:rsidR="006F3071">
        <w:rPr>
          <w:rFonts w:ascii="Verdana" w:hAnsi="Verdana"/>
        </w:rPr>
        <w:t xml:space="preserve">. </w:t>
      </w:r>
      <w:r w:rsidR="00E37286">
        <w:rPr>
          <w:rFonts w:ascii="Verdana" w:hAnsi="Verdana"/>
        </w:rPr>
        <w:t xml:space="preserve">Equal pay is a legal obligation. </w:t>
      </w:r>
      <w:r w:rsidR="006F3071">
        <w:rPr>
          <w:rFonts w:ascii="Verdana" w:hAnsi="Verdana"/>
        </w:rPr>
        <w:t>Whereas the g</w:t>
      </w:r>
      <w:r w:rsidRPr="00F22997">
        <w:rPr>
          <w:rFonts w:ascii="Verdana" w:hAnsi="Verdana"/>
        </w:rPr>
        <w:t>ender pay gap examines the difference in the average pay gap between males and females expressed as a percentage of m</w:t>
      </w:r>
      <w:r w:rsidR="006F3071">
        <w:rPr>
          <w:rFonts w:ascii="Verdana" w:hAnsi="Verdana"/>
        </w:rPr>
        <w:t>ale</w:t>
      </w:r>
      <w:r w:rsidRPr="00F22997">
        <w:rPr>
          <w:rFonts w:ascii="Verdana" w:hAnsi="Verdana"/>
        </w:rPr>
        <w:t xml:space="preserve"> earnings and is not unlawful</w:t>
      </w:r>
      <w:r w:rsidR="00AF7AF7">
        <w:rPr>
          <w:rFonts w:ascii="Verdana" w:hAnsi="Verdana"/>
        </w:rPr>
        <w:t>.</w:t>
      </w:r>
    </w:p>
    <w:p w14:paraId="311362CF" w14:textId="5DAF301C" w:rsidR="00F44D8A" w:rsidRDefault="00F22997" w:rsidP="009B29F3">
      <w:pPr>
        <w:spacing w:after="0"/>
        <w:rPr>
          <w:rFonts w:ascii="Verdana" w:hAnsi="Verdana"/>
        </w:rPr>
      </w:pPr>
      <w:r w:rsidRPr="00F22997">
        <w:rPr>
          <w:rFonts w:ascii="Verdana" w:hAnsi="Verdana"/>
        </w:rPr>
        <w:t>Organisations which are fully compliant with the Equality Act 2010 can still have a gender pay gap. This is often due to having more males in senior and highly paid positions and females in lower paid and part-time roles. The gender pay gap is a mechanism by which organisations can examine this data and take positive action to reduce the gender pay gap.</w:t>
      </w:r>
    </w:p>
    <w:p w14:paraId="38085441" w14:textId="77777777" w:rsidR="00BF024B" w:rsidRDefault="00BF024B" w:rsidP="009B29F3">
      <w:pPr>
        <w:spacing w:after="0"/>
        <w:rPr>
          <w:rFonts w:ascii="Verdana" w:hAnsi="Verdana"/>
          <w:b/>
          <w:sz w:val="24"/>
          <w:szCs w:val="24"/>
        </w:rPr>
      </w:pPr>
    </w:p>
    <w:p w14:paraId="4387D1E1" w14:textId="329501AE" w:rsidR="00E95257" w:rsidRPr="00E95257" w:rsidRDefault="00E95257" w:rsidP="009B29F3">
      <w:pPr>
        <w:spacing w:after="0"/>
        <w:rPr>
          <w:rFonts w:ascii="Verdana" w:hAnsi="Verdana"/>
          <w:b/>
          <w:sz w:val="24"/>
          <w:szCs w:val="24"/>
        </w:rPr>
      </w:pPr>
      <w:r w:rsidRPr="00E95257">
        <w:rPr>
          <w:rFonts w:ascii="Verdana" w:hAnsi="Verdana"/>
          <w:b/>
          <w:sz w:val="24"/>
          <w:szCs w:val="24"/>
        </w:rPr>
        <w:lastRenderedPageBreak/>
        <w:t xml:space="preserve">Equal Pay Audit </w:t>
      </w:r>
    </w:p>
    <w:p w14:paraId="61682570" w14:textId="303122E3" w:rsidR="005B256A" w:rsidRPr="005B256A" w:rsidRDefault="005B256A" w:rsidP="008855D8">
      <w:pPr>
        <w:spacing w:before="240"/>
        <w:rPr>
          <w:rFonts w:ascii="Verdana" w:hAnsi="Verdana"/>
        </w:rPr>
      </w:pPr>
      <w:r w:rsidRPr="005B256A">
        <w:rPr>
          <w:rFonts w:ascii="Verdana" w:hAnsi="Verdana"/>
        </w:rPr>
        <w:t>An equal pay audit is the most effective way of checking the Service is complying with its equal pay obligations, ensuring it delivers a pay system free from bias. An equal pay audit involves comparing pay of employees doing equal work and has three main purposes:</w:t>
      </w:r>
    </w:p>
    <w:p w14:paraId="737133D1" w14:textId="3C8531A7" w:rsidR="005B256A" w:rsidRPr="005B256A" w:rsidRDefault="005B256A" w:rsidP="005B256A">
      <w:pPr>
        <w:pStyle w:val="ListParagraph"/>
        <w:numPr>
          <w:ilvl w:val="0"/>
          <w:numId w:val="17"/>
        </w:numPr>
        <w:rPr>
          <w:rFonts w:ascii="Verdana" w:hAnsi="Verdana"/>
        </w:rPr>
      </w:pPr>
      <w:r w:rsidRPr="005B256A">
        <w:rPr>
          <w:rFonts w:ascii="Verdana" w:hAnsi="Verdana"/>
        </w:rPr>
        <w:t>to identify any differences in pay between those doing equal work</w:t>
      </w:r>
    </w:p>
    <w:p w14:paraId="58DDDBF9" w14:textId="1CAFA617" w:rsidR="005B256A" w:rsidRPr="005B256A" w:rsidRDefault="005B256A" w:rsidP="005B256A">
      <w:pPr>
        <w:pStyle w:val="ListParagraph"/>
        <w:numPr>
          <w:ilvl w:val="0"/>
          <w:numId w:val="17"/>
        </w:numPr>
        <w:rPr>
          <w:rFonts w:ascii="Verdana" w:hAnsi="Verdana"/>
        </w:rPr>
      </w:pPr>
      <w:r w:rsidRPr="005B256A">
        <w:rPr>
          <w:rFonts w:ascii="Verdana" w:hAnsi="Verdana"/>
        </w:rPr>
        <w:t>to investigate the causes of any differences in pay between those doing equal work, and</w:t>
      </w:r>
    </w:p>
    <w:p w14:paraId="524CD3D2" w14:textId="5B3F8EAA" w:rsidR="005B256A" w:rsidRPr="005B256A" w:rsidRDefault="005B256A" w:rsidP="005B256A">
      <w:pPr>
        <w:pStyle w:val="ListParagraph"/>
        <w:numPr>
          <w:ilvl w:val="0"/>
          <w:numId w:val="17"/>
        </w:numPr>
        <w:rPr>
          <w:rFonts w:ascii="Verdana" w:hAnsi="Verdana"/>
        </w:rPr>
      </w:pPr>
      <w:r w:rsidRPr="005B256A">
        <w:rPr>
          <w:rFonts w:ascii="Verdana" w:hAnsi="Verdana"/>
        </w:rPr>
        <w:t>to eliminate instances of unequal pay that cannot be justified</w:t>
      </w:r>
    </w:p>
    <w:p w14:paraId="51F192D7" w14:textId="03DB9700" w:rsidR="005B256A" w:rsidRPr="005B256A" w:rsidRDefault="005B256A" w:rsidP="005B256A">
      <w:pPr>
        <w:rPr>
          <w:rFonts w:ascii="Verdana" w:hAnsi="Verdana"/>
        </w:rPr>
      </w:pPr>
      <w:r>
        <w:rPr>
          <w:rFonts w:ascii="Verdana" w:hAnsi="Verdana"/>
        </w:rPr>
        <w:t>I</w:t>
      </w:r>
      <w:r w:rsidRPr="005B256A">
        <w:rPr>
          <w:rFonts w:ascii="Verdana" w:hAnsi="Verdana"/>
        </w:rPr>
        <w:t xml:space="preserve">n 2020 </w:t>
      </w:r>
      <w:r>
        <w:rPr>
          <w:rFonts w:ascii="Verdana" w:hAnsi="Verdana"/>
        </w:rPr>
        <w:t>a</w:t>
      </w:r>
      <w:r w:rsidRPr="005B256A">
        <w:rPr>
          <w:rFonts w:ascii="Verdana" w:hAnsi="Verdana"/>
        </w:rPr>
        <w:t xml:space="preserve">n equal pay </w:t>
      </w:r>
      <w:r>
        <w:rPr>
          <w:rFonts w:ascii="Verdana" w:hAnsi="Verdana"/>
        </w:rPr>
        <w:t>audit was undertaken within the Service</w:t>
      </w:r>
      <w:r w:rsidRPr="005B256A">
        <w:rPr>
          <w:rFonts w:ascii="Verdana" w:hAnsi="Verdana"/>
        </w:rPr>
        <w:t xml:space="preserve">. The snapshot date for the equal pay audit was </w:t>
      </w:r>
      <w:r w:rsidR="001A2D8C">
        <w:rPr>
          <w:rFonts w:ascii="Verdana" w:hAnsi="Verdana"/>
        </w:rPr>
        <w:t>0</w:t>
      </w:r>
      <w:r w:rsidRPr="005B256A">
        <w:rPr>
          <w:rFonts w:ascii="Verdana" w:hAnsi="Verdana"/>
        </w:rPr>
        <w:t xml:space="preserve">1 January 2020. The meaningful comparator data included base salary and 12-months’ worth of allowance data for protected characteristics of gender, age, </w:t>
      </w:r>
      <w:proofErr w:type="gramStart"/>
      <w:r w:rsidRPr="005B256A">
        <w:rPr>
          <w:rFonts w:ascii="Verdana" w:hAnsi="Verdana"/>
        </w:rPr>
        <w:t>disability</w:t>
      </w:r>
      <w:proofErr w:type="gramEnd"/>
      <w:r w:rsidRPr="005B256A">
        <w:rPr>
          <w:rFonts w:ascii="Verdana" w:hAnsi="Verdana"/>
        </w:rPr>
        <w:t xml:space="preserve"> and ethnicity. </w:t>
      </w:r>
      <w:r>
        <w:rPr>
          <w:rFonts w:ascii="Verdana" w:hAnsi="Verdana"/>
        </w:rPr>
        <w:t xml:space="preserve">For 2020, in addition to gender, </w:t>
      </w:r>
      <w:r w:rsidRPr="005B256A">
        <w:rPr>
          <w:rFonts w:ascii="Verdana" w:hAnsi="Verdana"/>
        </w:rPr>
        <w:t>analysis was also undertaken for additional protected characteristics of age, disability and ethnicity.</w:t>
      </w:r>
    </w:p>
    <w:p w14:paraId="3B9B21DD" w14:textId="54670323" w:rsidR="005B256A" w:rsidRPr="005B256A" w:rsidRDefault="005B256A" w:rsidP="005B256A">
      <w:pPr>
        <w:spacing w:after="0"/>
        <w:rPr>
          <w:rFonts w:ascii="Verdana" w:hAnsi="Verdana"/>
        </w:rPr>
      </w:pPr>
      <w:r w:rsidRPr="005B256A">
        <w:rPr>
          <w:rFonts w:ascii="Verdana" w:hAnsi="Verdana"/>
        </w:rPr>
        <w:t>The equal pay audit confirmed the Service is achieving equitable pay between gender, and the other protected characteristics of age and race</w:t>
      </w:r>
      <w:r>
        <w:rPr>
          <w:rFonts w:ascii="Verdana" w:hAnsi="Verdana"/>
        </w:rPr>
        <w:t>, however t</w:t>
      </w:r>
      <w:r w:rsidRPr="005B256A">
        <w:rPr>
          <w:rFonts w:ascii="Verdana" w:hAnsi="Verdana"/>
        </w:rPr>
        <w:t xml:space="preserve">here </w:t>
      </w:r>
      <w:r w:rsidR="009A3FEF">
        <w:rPr>
          <w:rFonts w:ascii="Verdana" w:hAnsi="Verdana"/>
        </w:rPr>
        <w:t>wa</w:t>
      </w:r>
      <w:r w:rsidRPr="005B256A">
        <w:rPr>
          <w:rFonts w:ascii="Verdana" w:hAnsi="Verdana"/>
        </w:rPr>
        <w:t xml:space="preserve">s insufficient data on disability to be able to analyse effectively. </w:t>
      </w:r>
    </w:p>
    <w:p w14:paraId="6B5427F5" w14:textId="77777777" w:rsidR="005B256A" w:rsidRDefault="005B256A" w:rsidP="003514F3">
      <w:pPr>
        <w:rPr>
          <w:rFonts w:ascii="Verdana" w:hAnsi="Verdana"/>
          <w:b/>
          <w:sz w:val="24"/>
          <w:szCs w:val="24"/>
        </w:rPr>
      </w:pPr>
    </w:p>
    <w:p w14:paraId="71E6CF19" w14:textId="54235A83" w:rsidR="00F22997" w:rsidRPr="007F17B2" w:rsidRDefault="00F22997" w:rsidP="00F44D8A">
      <w:pPr>
        <w:rPr>
          <w:rFonts w:ascii="Verdana" w:hAnsi="Verdana"/>
          <w:b/>
          <w:sz w:val="24"/>
          <w:szCs w:val="24"/>
        </w:rPr>
      </w:pPr>
      <w:r w:rsidRPr="007F17B2">
        <w:rPr>
          <w:rFonts w:ascii="Verdana" w:hAnsi="Verdana"/>
          <w:b/>
          <w:sz w:val="24"/>
          <w:szCs w:val="24"/>
        </w:rPr>
        <w:t>The reality of the gender pay gap</w:t>
      </w:r>
      <w:r w:rsidR="007F17B2" w:rsidRPr="007F17B2">
        <w:rPr>
          <w:rFonts w:ascii="Verdana" w:hAnsi="Verdana"/>
          <w:b/>
          <w:sz w:val="24"/>
          <w:szCs w:val="24"/>
        </w:rPr>
        <w:t xml:space="preserve"> </w:t>
      </w:r>
    </w:p>
    <w:p w14:paraId="3EA3D729" w14:textId="11272264" w:rsidR="005324C2" w:rsidRDefault="005324C2" w:rsidP="005324C2">
      <w:pPr>
        <w:jc w:val="both"/>
        <w:rPr>
          <w:rFonts w:ascii="Verdana" w:hAnsi="Verdana"/>
        </w:rPr>
      </w:pPr>
      <w:r>
        <w:rPr>
          <w:rFonts w:ascii="Verdana" w:hAnsi="Verdana"/>
        </w:rPr>
        <w:t>A</w:t>
      </w:r>
      <w:r w:rsidRPr="006E7B48">
        <w:rPr>
          <w:rFonts w:ascii="Verdana" w:hAnsi="Verdana"/>
        </w:rPr>
        <w:t xml:space="preserve"> workforce, which better reflects the diversity of the public, </w:t>
      </w:r>
      <w:r>
        <w:rPr>
          <w:rFonts w:ascii="Verdana" w:hAnsi="Verdana"/>
        </w:rPr>
        <w:t xml:space="preserve">that is flexible, </w:t>
      </w:r>
      <w:proofErr w:type="gramStart"/>
      <w:r>
        <w:rPr>
          <w:rFonts w:ascii="Verdana" w:hAnsi="Verdana"/>
        </w:rPr>
        <w:t>diverse</w:t>
      </w:r>
      <w:proofErr w:type="gramEnd"/>
      <w:r>
        <w:rPr>
          <w:rFonts w:ascii="Verdana" w:hAnsi="Verdana"/>
        </w:rPr>
        <w:t xml:space="preserve"> and inclusive, </w:t>
      </w:r>
      <w:r w:rsidRPr="006E7B48">
        <w:rPr>
          <w:rFonts w:ascii="Verdana" w:hAnsi="Verdana"/>
        </w:rPr>
        <w:t xml:space="preserve">will create a stronger, more enriched and well-informed organisation, able to meet the expectations for a modern </w:t>
      </w:r>
      <w:r w:rsidR="0010675C">
        <w:rPr>
          <w:rFonts w:ascii="Verdana" w:hAnsi="Verdana"/>
        </w:rPr>
        <w:t>F</w:t>
      </w:r>
      <w:r w:rsidRPr="006E7B48">
        <w:rPr>
          <w:rFonts w:ascii="Verdana" w:hAnsi="Verdana"/>
        </w:rPr>
        <w:t xml:space="preserve">ire and </w:t>
      </w:r>
      <w:r w:rsidR="0010675C">
        <w:rPr>
          <w:rFonts w:ascii="Verdana" w:hAnsi="Verdana"/>
        </w:rPr>
        <w:t>R</w:t>
      </w:r>
      <w:r w:rsidRPr="006E7B48">
        <w:rPr>
          <w:rFonts w:ascii="Verdana" w:hAnsi="Verdana"/>
        </w:rPr>
        <w:t xml:space="preserve">escue </w:t>
      </w:r>
      <w:r w:rsidR="0010675C">
        <w:rPr>
          <w:rFonts w:ascii="Verdana" w:hAnsi="Verdana"/>
        </w:rPr>
        <w:t>S</w:t>
      </w:r>
      <w:r w:rsidRPr="006E7B48">
        <w:rPr>
          <w:rFonts w:ascii="Verdana" w:hAnsi="Verdana"/>
        </w:rPr>
        <w:t>ervice.</w:t>
      </w:r>
      <w:r>
        <w:rPr>
          <w:rFonts w:ascii="Verdana" w:hAnsi="Verdana"/>
        </w:rPr>
        <w:t xml:space="preserve"> The Service will attract, retain, </w:t>
      </w:r>
      <w:proofErr w:type="gramStart"/>
      <w:r>
        <w:rPr>
          <w:rFonts w:ascii="Verdana" w:hAnsi="Verdana"/>
        </w:rPr>
        <w:t>develop</w:t>
      </w:r>
      <w:proofErr w:type="gramEnd"/>
      <w:r>
        <w:rPr>
          <w:rFonts w:ascii="Verdana" w:hAnsi="Verdana"/>
        </w:rPr>
        <w:t xml:space="preserve"> and motivate talented people from all parts of the community.</w:t>
      </w:r>
    </w:p>
    <w:p w14:paraId="2E821B15" w14:textId="2059E790" w:rsidR="004C6E0A" w:rsidRDefault="004C6E0A" w:rsidP="004C6E0A">
      <w:pPr>
        <w:rPr>
          <w:rFonts w:ascii="Verdana" w:hAnsi="Verdana"/>
        </w:rPr>
      </w:pPr>
      <w:r>
        <w:rPr>
          <w:rFonts w:ascii="Verdana" w:hAnsi="Verdana"/>
        </w:rPr>
        <w:t xml:space="preserve">The </w:t>
      </w:r>
      <w:r w:rsidR="00AC68B3">
        <w:rPr>
          <w:rFonts w:ascii="Verdana" w:hAnsi="Verdana"/>
        </w:rPr>
        <w:t xml:space="preserve">current </w:t>
      </w:r>
      <w:r>
        <w:rPr>
          <w:rFonts w:ascii="Verdana" w:hAnsi="Verdana"/>
        </w:rPr>
        <w:t>l</w:t>
      </w:r>
      <w:r w:rsidR="00AC68B3">
        <w:rPr>
          <w:rFonts w:ascii="Verdana" w:hAnsi="Verdana"/>
        </w:rPr>
        <w:t>imited</w:t>
      </w:r>
      <w:r>
        <w:rPr>
          <w:rFonts w:ascii="Verdana" w:hAnsi="Verdana"/>
        </w:rPr>
        <w:t xml:space="preserve"> gender diversity within t</w:t>
      </w:r>
      <w:r w:rsidR="00B907C1">
        <w:rPr>
          <w:rFonts w:ascii="Verdana" w:hAnsi="Verdana"/>
        </w:rPr>
        <w:t xml:space="preserve">he Fire Service </w:t>
      </w:r>
      <w:r>
        <w:rPr>
          <w:rFonts w:ascii="Verdana" w:hAnsi="Verdana"/>
        </w:rPr>
        <w:t>is a national challenge. This is partly due to a lack of understanding about the role and skills required to be a firefighter</w:t>
      </w:r>
      <w:r w:rsidR="00E65024">
        <w:rPr>
          <w:rFonts w:ascii="Verdana" w:hAnsi="Verdana"/>
        </w:rPr>
        <w:t xml:space="preserve"> by potential applicants</w:t>
      </w:r>
      <w:r>
        <w:rPr>
          <w:rFonts w:ascii="Verdana" w:hAnsi="Verdana"/>
        </w:rPr>
        <w:t>. By embracing the need for change and consciously recognising this is a historically male-dominated organisation</w:t>
      </w:r>
      <w:r w:rsidR="007C321A">
        <w:rPr>
          <w:rFonts w:ascii="Verdana" w:hAnsi="Verdana"/>
        </w:rPr>
        <w:t>,</w:t>
      </w:r>
      <w:r>
        <w:rPr>
          <w:rFonts w:ascii="Verdana" w:hAnsi="Verdana"/>
        </w:rPr>
        <w:t xml:space="preserve"> </w:t>
      </w:r>
      <w:r w:rsidR="007F17B2">
        <w:rPr>
          <w:rFonts w:ascii="Verdana" w:hAnsi="Verdana"/>
        </w:rPr>
        <w:t xml:space="preserve">and </w:t>
      </w:r>
      <w:r w:rsidR="007C321A">
        <w:rPr>
          <w:rFonts w:ascii="Verdana" w:hAnsi="Verdana"/>
        </w:rPr>
        <w:t xml:space="preserve">by </w:t>
      </w:r>
      <w:r w:rsidR="007F17B2">
        <w:rPr>
          <w:rFonts w:ascii="Verdana" w:hAnsi="Verdana"/>
        </w:rPr>
        <w:t>actively seeking to dispel these myths</w:t>
      </w:r>
      <w:r w:rsidR="007C321A">
        <w:rPr>
          <w:rFonts w:ascii="Verdana" w:hAnsi="Verdana"/>
        </w:rPr>
        <w:t>, it</w:t>
      </w:r>
      <w:r w:rsidR="007F17B2">
        <w:rPr>
          <w:rFonts w:ascii="Verdana" w:hAnsi="Verdana"/>
        </w:rPr>
        <w:t xml:space="preserve"> </w:t>
      </w:r>
      <w:r>
        <w:rPr>
          <w:rFonts w:ascii="Verdana" w:hAnsi="Verdana"/>
        </w:rPr>
        <w:t xml:space="preserve">will help </w:t>
      </w:r>
      <w:r w:rsidR="007C321A">
        <w:rPr>
          <w:rFonts w:ascii="Verdana" w:hAnsi="Verdana"/>
        </w:rPr>
        <w:t xml:space="preserve">to </w:t>
      </w:r>
      <w:r>
        <w:rPr>
          <w:rFonts w:ascii="Verdana" w:hAnsi="Verdana"/>
        </w:rPr>
        <w:t xml:space="preserve">break some of the barriers for females considering a career within the Fire Service. </w:t>
      </w:r>
    </w:p>
    <w:p w14:paraId="5B3919DB" w14:textId="48C75028" w:rsidR="0045588E" w:rsidRPr="001672D6" w:rsidRDefault="00FC5DED" w:rsidP="0045588E">
      <w:pPr>
        <w:spacing w:after="0"/>
        <w:rPr>
          <w:rFonts w:ascii="Verdana" w:hAnsi="Verdana"/>
        </w:rPr>
      </w:pPr>
      <w:r w:rsidRPr="001672D6">
        <w:rPr>
          <w:rFonts w:ascii="Verdana" w:hAnsi="Verdana"/>
        </w:rPr>
        <w:t>Since 20</w:t>
      </w:r>
      <w:r w:rsidR="00F73E67" w:rsidRPr="001672D6">
        <w:rPr>
          <w:rFonts w:ascii="Verdana" w:hAnsi="Verdana"/>
        </w:rPr>
        <w:t>20</w:t>
      </w:r>
      <w:r w:rsidRPr="001672D6">
        <w:rPr>
          <w:rFonts w:ascii="Verdana" w:hAnsi="Verdana"/>
        </w:rPr>
        <w:t xml:space="preserve"> the economic impact of the coronavirus </w:t>
      </w:r>
      <w:r w:rsidR="00160CE6" w:rsidRPr="001672D6">
        <w:rPr>
          <w:rFonts w:ascii="Verdana" w:hAnsi="Verdana"/>
        </w:rPr>
        <w:t xml:space="preserve">(Covid-19) </w:t>
      </w:r>
      <w:r w:rsidRPr="001672D6">
        <w:rPr>
          <w:rFonts w:ascii="Verdana" w:hAnsi="Verdana"/>
        </w:rPr>
        <w:t>pandemic has contributed to widening the</w:t>
      </w:r>
      <w:r w:rsidR="00A7376B" w:rsidRPr="001672D6">
        <w:rPr>
          <w:rFonts w:ascii="Verdana" w:hAnsi="Verdana"/>
        </w:rPr>
        <w:t xml:space="preserve"> UK national average</w:t>
      </w:r>
      <w:r w:rsidRPr="001672D6">
        <w:rPr>
          <w:rFonts w:ascii="Verdana" w:hAnsi="Verdana"/>
        </w:rPr>
        <w:t xml:space="preserve"> gender pay gap</w:t>
      </w:r>
      <w:r w:rsidR="00A7376B" w:rsidRPr="001672D6">
        <w:rPr>
          <w:rFonts w:ascii="Verdana" w:hAnsi="Verdana"/>
        </w:rPr>
        <w:t xml:space="preserve"> and </w:t>
      </w:r>
      <w:r w:rsidR="00DE29D1" w:rsidRPr="001672D6">
        <w:rPr>
          <w:rFonts w:ascii="Verdana" w:hAnsi="Verdana"/>
        </w:rPr>
        <w:t xml:space="preserve">has </w:t>
      </w:r>
      <w:r w:rsidR="00A7376B" w:rsidRPr="001672D6">
        <w:rPr>
          <w:rFonts w:ascii="Verdana" w:hAnsi="Verdana"/>
        </w:rPr>
        <w:t>impacted on working arrangements</w:t>
      </w:r>
      <w:r w:rsidR="00DE29D1" w:rsidRPr="001672D6">
        <w:rPr>
          <w:rFonts w:ascii="Verdana" w:hAnsi="Verdana"/>
        </w:rPr>
        <w:t xml:space="preserve"> within many organisations</w:t>
      </w:r>
      <w:r w:rsidR="00A7376B" w:rsidRPr="001672D6">
        <w:rPr>
          <w:rFonts w:ascii="Verdana" w:hAnsi="Verdana"/>
        </w:rPr>
        <w:t>.</w:t>
      </w:r>
      <w:r w:rsidR="00DE29D1" w:rsidRPr="001672D6">
        <w:rPr>
          <w:rFonts w:ascii="Verdana" w:hAnsi="Verdana"/>
        </w:rPr>
        <w:t xml:space="preserve"> </w:t>
      </w:r>
      <w:r w:rsidR="00E929AE" w:rsidRPr="001672D6">
        <w:rPr>
          <w:rFonts w:ascii="Verdana" w:hAnsi="Verdana"/>
        </w:rPr>
        <w:t>W</w:t>
      </w:r>
      <w:r w:rsidR="0045588E" w:rsidRPr="001672D6">
        <w:rPr>
          <w:rFonts w:ascii="Verdana" w:hAnsi="Verdana"/>
        </w:rPr>
        <w:t xml:space="preserve">hilst the short-term impact of the pandemic has been to increase the </w:t>
      </w:r>
      <w:r w:rsidR="005679D7" w:rsidRPr="001672D6">
        <w:rPr>
          <w:rFonts w:ascii="Verdana" w:hAnsi="Verdana"/>
        </w:rPr>
        <w:t xml:space="preserve">UK average </w:t>
      </w:r>
      <w:r w:rsidR="0045588E" w:rsidRPr="001672D6">
        <w:rPr>
          <w:rFonts w:ascii="Verdana" w:hAnsi="Verdana"/>
        </w:rPr>
        <w:t>gender pay gap, in the longer term it may have helped</w:t>
      </w:r>
      <w:r w:rsidR="00E929AE" w:rsidRPr="001672D6">
        <w:rPr>
          <w:rFonts w:ascii="Verdana" w:hAnsi="Verdana"/>
        </w:rPr>
        <w:t>. For many, the</w:t>
      </w:r>
      <w:r w:rsidR="0045588E" w:rsidRPr="001672D6">
        <w:rPr>
          <w:rFonts w:ascii="Verdana" w:hAnsi="Verdana"/>
        </w:rPr>
        <w:t xml:space="preserve"> </w:t>
      </w:r>
      <w:r w:rsidR="00E929AE" w:rsidRPr="001672D6">
        <w:rPr>
          <w:rFonts w:ascii="Verdana" w:hAnsi="Verdana"/>
        </w:rPr>
        <w:t xml:space="preserve">pandemic has been a catalyst to positive changes within the workplace due to the requirements to embrace alternative ways of working. </w:t>
      </w:r>
    </w:p>
    <w:p w14:paraId="280829FF" w14:textId="38A1DE72" w:rsidR="0045588E" w:rsidRPr="00072B2D" w:rsidRDefault="0045588E" w:rsidP="00F97FE4">
      <w:pPr>
        <w:spacing w:after="0"/>
        <w:rPr>
          <w:rFonts w:ascii="Verdana" w:hAnsi="Verdana"/>
        </w:rPr>
      </w:pPr>
    </w:p>
    <w:p w14:paraId="336204ED" w14:textId="75E0C338" w:rsidR="00571CBC" w:rsidRPr="001672D6" w:rsidRDefault="00DE29D1" w:rsidP="00E929AE">
      <w:pPr>
        <w:spacing w:after="0"/>
        <w:rPr>
          <w:rFonts w:ascii="Verdana" w:hAnsi="Verdana"/>
        </w:rPr>
      </w:pPr>
      <w:r w:rsidRPr="001672D6">
        <w:rPr>
          <w:rFonts w:ascii="Verdana" w:hAnsi="Verdana"/>
        </w:rPr>
        <w:lastRenderedPageBreak/>
        <w:t xml:space="preserve">During the pandemic the </w:t>
      </w:r>
      <w:r w:rsidR="008855D8" w:rsidRPr="001672D6">
        <w:rPr>
          <w:rFonts w:ascii="Verdana" w:hAnsi="Verdana"/>
        </w:rPr>
        <w:t>Service</w:t>
      </w:r>
      <w:r w:rsidRPr="001672D6">
        <w:rPr>
          <w:rFonts w:ascii="Verdana" w:hAnsi="Verdana"/>
        </w:rPr>
        <w:t xml:space="preserve"> faced many challenges </w:t>
      </w:r>
      <w:r w:rsidR="004915C6" w:rsidRPr="001672D6">
        <w:rPr>
          <w:rFonts w:ascii="Verdana" w:hAnsi="Verdana"/>
        </w:rPr>
        <w:t>in continuing to support and protect the communities of Buckinghamshire and Milton Keynes, in addition to maximising the health, safety and wellbeing of its employees.</w:t>
      </w:r>
      <w:r w:rsidR="0045588E" w:rsidRPr="001672D6">
        <w:rPr>
          <w:rFonts w:ascii="Verdana" w:hAnsi="Verdana"/>
        </w:rPr>
        <w:t xml:space="preserve"> </w:t>
      </w:r>
      <w:r w:rsidR="001A2D8C">
        <w:rPr>
          <w:rFonts w:ascii="Verdana" w:hAnsi="Verdana"/>
        </w:rPr>
        <w:t>Following the pandemic, t</w:t>
      </w:r>
      <w:r w:rsidR="001672D6" w:rsidRPr="001672D6">
        <w:rPr>
          <w:rFonts w:ascii="Verdana" w:hAnsi="Verdana"/>
        </w:rPr>
        <w:t xml:space="preserve">he </w:t>
      </w:r>
      <w:r w:rsidR="008855D8" w:rsidRPr="001672D6">
        <w:rPr>
          <w:rFonts w:ascii="Verdana" w:hAnsi="Verdana"/>
        </w:rPr>
        <w:t>Service</w:t>
      </w:r>
      <w:r w:rsidR="00E929AE" w:rsidRPr="001672D6">
        <w:rPr>
          <w:rFonts w:ascii="Verdana" w:hAnsi="Verdana"/>
        </w:rPr>
        <w:t xml:space="preserve"> </w:t>
      </w:r>
      <w:r w:rsidR="001672D6" w:rsidRPr="001672D6">
        <w:rPr>
          <w:rFonts w:ascii="Verdana" w:hAnsi="Verdana"/>
        </w:rPr>
        <w:t>remains</w:t>
      </w:r>
      <w:r w:rsidR="00FC5DED" w:rsidRPr="001672D6">
        <w:rPr>
          <w:rFonts w:ascii="Verdana" w:hAnsi="Verdana"/>
        </w:rPr>
        <w:t xml:space="preserve"> committed to harnessing the</w:t>
      </w:r>
      <w:r w:rsidR="0045588E" w:rsidRPr="001672D6">
        <w:rPr>
          <w:rFonts w:ascii="Verdana" w:hAnsi="Verdana"/>
        </w:rPr>
        <w:t xml:space="preserve"> </w:t>
      </w:r>
      <w:r w:rsidR="00FC5DED" w:rsidRPr="001672D6">
        <w:rPr>
          <w:rFonts w:ascii="Verdana" w:hAnsi="Verdana"/>
        </w:rPr>
        <w:t>benefits</w:t>
      </w:r>
      <w:r w:rsidR="00E929AE" w:rsidRPr="001672D6">
        <w:rPr>
          <w:rFonts w:ascii="Verdana" w:hAnsi="Verdana"/>
        </w:rPr>
        <w:t xml:space="preserve"> </w:t>
      </w:r>
      <w:r w:rsidR="00FC5DED" w:rsidRPr="001672D6">
        <w:rPr>
          <w:rFonts w:ascii="Verdana" w:hAnsi="Verdana"/>
        </w:rPr>
        <w:t xml:space="preserve">of flexible working, which </w:t>
      </w:r>
      <w:r w:rsidR="001672D6" w:rsidRPr="001672D6">
        <w:rPr>
          <w:rFonts w:ascii="Verdana" w:hAnsi="Verdana"/>
        </w:rPr>
        <w:t>w</w:t>
      </w:r>
      <w:r w:rsidR="00FC5DED" w:rsidRPr="001672D6">
        <w:rPr>
          <w:rFonts w:ascii="Verdana" w:hAnsi="Verdana"/>
        </w:rPr>
        <w:t xml:space="preserve">as </w:t>
      </w:r>
      <w:r w:rsidR="001672D6" w:rsidRPr="001672D6">
        <w:rPr>
          <w:rFonts w:ascii="Verdana" w:hAnsi="Verdana"/>
        </w:rPr>
        <w:t>l</w:t>
      </w:r>
      <w:r w:rsidR="00571CBC" w:rsidRPr="001672D6">
        <w:rPr>
          <w:rFonts w:ascii="Verdana" w:hAnsi="Verdana"/>
        </w:rPr>
        <w:t xml:space="preserve">argely </w:t>
      </w:r>
      <w:r w:rsidR="00FC5DED" w:rsidRPr="001672D6">
        <w:rPr>
          <w:rFonts w:ascii="Verdana" w:hAnsi="Verdana"/>
        </w:rPr>
        <w:t xml:space="preserve">created by the </w:t>
      </w:r>
      <w:r w:rsidR="00571CBC" w:rsidRPr="001672D6">
        <w:rPr>
          <w:rFonts w:ascii="Verdana" w:hAnsi="Verdana"/>
        </w:rPr>
        <w:t>requirement for alternat</w:t>
      </w:r>
      <w:r w:rsidR="005679D7" w:rsidRPr="001672D6">
        <w:rPr>
          <w:rFonts w:ascii="Verdana" w:hAnsi="Verdana"/>
        </w:rPr>
        <w:t>iv</w:t>
      </w:r>
      <w:r w:rsidR="00571CBC" w:rsidRPr="001672D6">
        <w:rPr>
          <w:rFonts w:ascii="Verdana" w:hAnsi="Verdana"/>
        </w:rPr>
        <w:t xml:space="preserve">e working arrangements. </w:t>
      </w:r>
      <w:r w:rsidR="00E929AE" w:rsidRPr="001672D6">
        <w:rPr>
          <w:rFonts w:ascii="Verdana" w:hAnsi="Verdana"/>
        </w:rPr>
        <w:t>By embracing more flexible and responsive ways of working, it will lead to greater equality and</w:t>
      </w:r>
      <w:r w:rsidR="00571CBC" w:rsidRPr="001672D6">
        <w:rPr>
          <w:rFonts w:ascii="Verdana" w:hAnsi="Verdana"/>
        </w:rPr>
        <w:t xml:space="preserve"> encourage a more diverse workforce</w:t>
      </w:r>
      <w:r w:rsidR="00F97FE4" w:rsidRPr="001672D6">
        <w:rPr>
          <w:rFonts w:ascii="Verdana" w:hAnsi="Verdana"/>
        </w:rPr>
        <w:t>.</w:t>
      </w:r>
    </w:p>
    <w:p w14:paraId="4A4D0731" w14:textId="090DFE0B" w:rsidR="001672D6" w:rsidRDefault="00AD4249" w:rsidP="00BE2D2C">
      <w:pPr>
        <w:spacing w:before="240" w:after="0"/>
        <w:rPr>
          <w:rFonts w:ascii="Verdana" w:hAnsi="Verdana"/>
        </w:rPr>
      </w:pPr>
      <w:r w:rsidRPr="00072B2D">
        <w:rPr>
          <w:rFonts w:ascii="Verdana" w:hAnsi="Verdana"/>
        </w:rPr>
        <w:t xml:space="preserve">The gender pay gap is generally caused by </w:t>
      </w:r>
      <w:r w:rsidR="001A2D8C">
        <w:rPr>
          <w:rFonts w:ascii="Verdana" w:hAnsi="Verdana"/>
        </w:rPr>
        <w:t xml:space="preserve">an </w:t>
      </w:r>
      <w:r w:rsidRPr="00072B2D">
        <w:rPr>
          <w:rFonts w:ascii="Verdana" w:hAnsi="Verdana"/>
        </w:rPr>
        <w:t xml:space="preserve">underrepresentation of female employees in higher paid or senior roles. </w:t>
      </w:r>
      <w:proofErr w:type="gramStart"/>
      <w:r w:rsidRPr="00072B2D">
        <w:rPr>
          <w:rFonts w:ascii="Verdana" w:hAnsi="Verdana"/>
        </w:rPr>
        <w:t>In order to</w:t>
      </w:r>
      <w:proofErr w:type="gramEnd"/>
      <w:r w:rsidRPr="00072B2D">
        <w:rPr>
          <w:rFonts w:ascii="Verdana" w:hAnsi="Verdana"/>
        </w:rPr>
        <w:t xml:space="preserve"> lower the gap attention must be paid to </w:t>
      </w:r>
      <w:r w:rsidR="005A789A" w:rsidRPr="00072B2D">
        <w:rPr>
          <w:rFonts w:ascii="Verdana" w:hAnsi="Verdana"/>
        </w:rPr>
        <w:t xml:space="preserve">the </w:t>
      </w:r>
      <w:r w:rsidRPr="00072B2D">
        <w:rPr>
          <w:rFonts w:ascii="Verdana" w:hAnsi="Verdana"/>
        </w:rPr>
        <w:t>recruitment, retention and development</w:t>
      </w:r>
      <w:r w:rsidR="005A789A" w:rsidRPr="00072B2D">
        <w:rPr>
          <w:rFonts w:ascii="Verdana" w:hAnsi="Verdana"/>
        </w:rPr>
        <w:t xml:space="preserve"> of females into these areas</w:t>
      </w:r>
      <w:r w:rsidR="00BE2D2C" w:rsidRPr="00072B2D">
        <w:rPr>
          <w:rFonts w:ascii="Verdana" w:hAnsi="Verdana"/>
        </w:rPr>
        <w:t xml:space="preserve">, and a </w:t>
      </w:r>
      <w:r w:rsidR="005A789A" w:rsidRPr="00072B2D">
        <w:rPr>
          <w:rFonts w:ascii="Verdana" w:hAnsi="Verdana"/>
        </w:rPr>
        <w:t xml:space="preserve">range of strategies </w:t>
      </w:r>
      <w:r w:rsidR="00BE2D2C" w:rsidRPr="00072B2D">
        <w:rPr>
          <w:rFonts w:ascii="Verdana" w:hAnsi="Verdana"/>
        </w:rPr>
        <w:t xml:space="preserve">adopted to support this. </w:t>
      </w:r>
      <w:r w:rsidR="005E6EAF">
        <w:rPr>
          <w:rFonts w:ascii="Verdana" w:hAnsi="Verdana"/>
        </w:rPr>
        <w:t xml:space="preserve">For 2022, the representation of females in senior roles has decreased by 0.5 percentage points. Whilst in 2021 there was an increase of </w:t>
      </w:r>
      <w:r w:rsidR="005E6EAF" w:rsidRPr="005E6EAF">
        <w:rPr>
          <w:rFonts w:ascii="Verdana" w:hAnsi="Verdana"/>
        </w:rPr>
        <w:t xml:space="preserve">females in senior roles, with </w:t>
      </w:r>
      <w:r w:rsidR="005E6EAF">
        <w:rPr>
          <w:rFonts w:ascii="Verdana" w:hAnsi="Verdana"/>
        </w:rPr>
        <w:t>2021</w:t>
      </w:r>
      <w:r w:rsidR="005E6EAF" w:rsidRPr="005E6EAF">
        <w:rPr>
          <w:rFonts w:ascii="Verdana" w:hAnsi="Verdana"/>
        </w:rPr>
        <w:t xml:space="preserve"> seeing the highest representation </w:t>
      </w:r>
      <w:r w:rsidR="005E6EAF">
        <w:rPr>
          <w:rFonts w:ascii="Verdana" w:hAnsi="Verdana"/>
        </w:rPr>
        <w:t xml:space="preserve">in the upper quartile </w:t>
      </w:r>
      <w:r w:rsidR="005E6EAF" w:rsidRPr="005E6EAF">
        <w:rPr>
          <w:rFonts w:ascii="Verdana" w:hAnsi="Verdana"/>
        </w:rPr>
        <w:t>since first reporting in 2017</w:t>
      </w:r>
      <w:r w:rsidR="005E6EAF">
        <w:rPr>
          <w:rFonts w:ascii="Verdana" w:hAnsi="Verdana"/>
        </w:rPr>
        <w:t xml:space="preserve">, the decrease of 0.5 percentage points (or one female) has meant the representation of females in senior roles is the lowest out of the four quartiles. </w:t>
      </w:r>
    </w:p>
    <w:p w14:paraId="5055D0A4" w14:textId="490B8B13" w:rsidR="00602D0F" w:rsidRPr="00072B2D" w:rsidRDefault="00602D0F" w:rsidP="00F97FE4">
      <w:pPr>
        <w:spacing w:before="240"/>
        <w:rPr>
          <w:rFonts w:ascii="Verdana" w:hAnsi="Verdana"/>
        </w:rPr>
      </w:pPr>
      <w:r w:rsidRPr="00072B2D">
        <w:rPr>
          <w:rFonts w:ascii="Verdana" w:hAnsi="Verdana"/>
        </w:rPr>
        <w:t xml:space="preserve">By demonstrating an understanding of the factors contributing to the gender pay gap and committing </w:t>
      </w:r>
      <w:r w:rsidR="00BE74E0" w:rsidRPr="00072B2D">
        <w:rPr>
          <w:rFonts w:ascii="Verdana" w:hAnsi="Verdana"/>
        </w:rPr>
        <w:t xml:space="preserve">activity </w:t>
      </w:r>
      <w:r w:rsidRPr="00072B2D">
        <w:rPr>
          <w:rFonts w:ascii="Verdana" w:hAnsi="Verdana"/>
        </w:rPr>
        <w:t>to address the gap, it will ensure over</w:t>
      </w:r>
      <w:r w:rsidR="00254E5D" w:rsidRPr="00072B2D">
        <w:rPr>
          <w:rFonts w:ascii="Verdana" w:hAnsi="Verdana"/>
        </w:rPr>
        <w:t xml:space="preserve"> </w:t>
      </w:r>
      <w:r w:rsidRPr="00072B2D">
        <w:rPr>
          <w:rFonts w:ascii="Verdana" w:hAnsi="Verdana"/>
        </w:rPr>
        <w:t>time the gap is reduced and eventually eliminated</w:t>
      </w:r>
      <w:r w:rsidR="00AD73A1" w:rsidRPr="00072B2D">
        <w:rPr>
          <w:rFonts w:ascii="Verdana" w:hAnsi="Verdana"/>
        </w:rPr>
        <w:t>.</w:t>
      </w:r>
      <w:r w:rsidR="006A4C11" w:rsidRPr="00072B2D">
        <w:rPr>
          <w:rFonts w:ascii="Verdana" w:hAnsi="Verdana"/>
        </w:rPr>
        <w:t xml:space="preserve"> </w:t>
      </w:r>
      <w:r w:rsidR="00AD73A1" w:rsidRPr="00072B2D">
        <w:rPr>
          <w:rFonts w:ascii="Verdana" w:hAnsi="Verdana"/>
        </w:rPr>
        <w:t>In addition</w:t>
      </w:r>
      <w:r w:rsidR="006A4C11" w:rsidRPr="00072B2D">
        <w:rPr>
          <w:rFonts w:ascii="Verdana" w:hAnsi="Verdana"/>
        </w:rPr>
        <w:t>,</w:t>
      </w:r>
      <w:r w:rsidRPr="00072B2D">
        <w:rPr>
          <w:rFonts w:ascii="Verdana" w:hAnsi="Verdana"/>
        </w:rPr>
        <w:t xml:space="preserve"> the workforce will better reflect </w:t>
      </w:r>
      <w:r w:rsidR="00E562F3" w:rsidRPr="00072B2D">
        <w:rPr>
          <w:rFonts w:ascii="Verdana" w:hAnsi="Verdana"/>
        </w:rPr>
        <w:t xml:space="preserve">the diversity of the community. Meaningful </w:t>
      </w:r>
      <w:r w:rsidR="00AD73A1" w:rsidRPr="00072B2D">
        <w:rPr>
          <w:rFonts w:ascii="Verdana" w:hAnsi="Verdana"/>
        </w:rPr>
        <w:t xml:space="preserve">embedded </w:t>
      </w:r>
      <w:r w:rsidR="00E562F3" w:rsidRPr="00072B2D">
        <w:rPr>
          <w:rFonts w:ascii="Verdana" w:hAnsi="Verdana"/>
        </w:rPr>
        <w:t xml:space="preserve">change takes </w:t>
      </w:r>
      <w:r w:rsidR="001B02CF" w:rsidRPr="00072B2D">
        <w:rPr>
          <w:rFonts w:ascii="Verdana" w:hAnsi="Verdana"/>
        </w:rPr>
        <w:t>time,</w:t>
      </w:r>
      <w:r w:rsidR="007C321A" w:rsidRPr="00072B2D">
        <w:rPr>
          <w:rFonts w:ascii="Verdana" w:hAnsi="Verdana"/>
        </w:rPr>
        <w:t xml:space="preserve"> and we recognise this. T</w:t>
      </w:r>
      <w:r w:rsidR="00E562F3" w:rsidRPr="00072B2D">
        <w:rPr>
          <w:rFonts w:ascii="Verdana" w:hAnsi="Verdana"/>
        </w:rPr>
        <w:t xml:space="preserve">he Service’s </w:t>
      </w:r>
      <w:proofErr w:type="gramStart"/>
      <w:r w:rsidR="007C321A" w:rsidRPr="00072B2D">
        <w:rPr>
          <w:rFonts w:ascii="Verdana" w:hAnsi="Verdana"/>
        </w:rPr>
        <w:t xml:space="preserve">ultimate </w:t>
      </w:r>
      <w:r w:rsidR="00E562F3" w:rsidRPr="00072B2D">
        <w:rPr>
          <w:rFonts w:ascii="Verdana" w:hAnsi="Verdana"/>
        </w:rPr>
        <w:t>aim</w:t>
      </w:r>
      <w:proofErr w:type="gramEnd"/>
      <w:r w:rsidR="00E562F3" w:rsidRPr="00072B2D">
        <w:rPr>
          <w:rFonts w:ascii="Verdana" w:hAnsi="Verdana"/>
        </w:rPr>
        <w:t xml:space="preserve"> is to achieve gender</w:t>
      </w:r>
      <w:r w:rsidR="00AD73A1" w:rsidRPr="00072B2D">
        <w:rPr>
          <w:rFonts w:ascii="Verdana" w:hAnsi="Verdana"/>
        </w:rPr>
        <w:t xml:space="preserve"> pay</w:t>
      </w:r>
      <w:r w:rsidR="00E562F3" w:rsidRPr="00072B2D">
        <w:rPr>
          <w:rFonts w:ascii="Verdana" w:hAnsi="Verdana"/>
        </w:rPr>
        <w:t xml:space="preserve"> parity</w:t>
      </w:r>
      <w:r w:rsidR="006A4C11" w:rsidRPr="00072B2D">
        <w:rPr>
          <w:rFonts w:ascii="Verdana" w:hAnsi="Verdana"/>
        </w:rPr>
        <w:t>.</w:t>
      </w:r>
      <w:r w:rsidR="00E562F3" w:rsidRPr="00072B2D">
        <w:rPr>
          <w:rFonts w:ascii="Verdana" w:hAnsi="Verdana"/>
        </w:rPr>
        <w:t xml:space="preserve"> </w:t>
      </w:r>
    </w:p>
    <w:p w14:paraId="47AC8C5E" w14:textId="255F1DBD" w:rsidR="00E65024" w:rsidRPr="00072B2D" w:rsidRDefault="00E65024" w:rsidP="00697F2A">
      <w:pPr>
        <w:spacing w:after="0"/>
        <w:rPr>
          <w:rFonts w:ascii="Verdana" w:hAnsi="Verdana"/>
        </w:rPr>
      </w:pPr>
      <w:r w:rsidRPr="00072B2D">
        <w:rPr>
          <w:rFonts w:ascii="Verdana" w:hAnsi="Verdana"/>
        </w:rPr>
        <w:t>Many of the issues driving pay gaps require</w:t>
      </w:r>
      <w:r w:rsidR="0010675C" w:rsidRPr="00072B2D">
        <w:rPr>
          <w:rFonts w:ascii="Verdana" w:hAnsi="Verdana"/>
        </w:rPr>
        <w:t>s</w:t>
      </w:r>
      <w:r w:rsidRPr="00072B2D">
        <w:rPr>
          <w:rFonts w:ascii="Verdana" w:hAnsi="Verdana"/>
        </w:rPr>
        <w:t xml:space="preserve"> a longer-term view. It has been recognised nationally that the gender pay gap is not going to be fully eliminated within the short to medium term.</w:t>
      </w:r>
    </w:p>
    <w:p w14:paraId="11A77672" w14:textId="77777777" w:rsidR="00DD07F5" w:rsidRPr="00072B2D" w:rsidRDefault="00DD07F5" w:rsidP="003514F3">
      <w:pPr>
        <w:spacing w:before="240" w:after="0"/>
        <w:rPr>
          <w:rFonts w:ascii="Verdana" w:eastAsia="Times New Roman" w:hAnsi="Verdana" w:cs="Calibri"/>
          <w:b/>
          <w:kern w:val="28"/>
          <w:sz w:val="24"/>
          <w:szCs w:val="24"/>
          <w:lang w:eastAsia="en-GB"/>
          <w14:cntxtAlts/>
        </w:rPr>
      </w:pPr>
    </w:p>
    <w:p w14:paraId="6077BC05" w14:textId="77777777" w:rsidR="00F22997" w:rsidRPr="00072B2D" w:rsidRDefault="00F22997" w:rsidP="00F22997">
      <w:pPr>
        <w:rPr>
          <w:rFonts w:ascii="Verdana" w:eastAsia="Times New Roman" w:hAnsi="Verdana" w:cs="Calibri"/>
          <w:b/>
          <w:kern w:val="28"/>
          <w:sz w:val="24"/>
          <w:szCs w:val="24"/>
          <w:lang w:eastAsia="en-GB"/>
          <w14:cntxtAlts/>
        </w:rPr>
      </w:pPr>
      <w:r w:rsidRPr="00072B2D">
        <w:rPr>
          <w:rFonts w:ascii="Verdana" w:eastAsia="Times New Roman" w:hAnsi="Verdana" w:cs="Calibri"/>
          <w:b/>
          <w:kern w:val="28"/>
          <w:sz w:val="24"/>
          <w:szCs w:val="24"/>
          <w:lang w:eastAsia="en-GB"/>
          <w14:cntxtAlts/>
        </w:rPr>
        <w:t xml:space="preserve">Importance of recruitment </w:t>
      </w:r>
      <w:r w:rsidR="000F7C57" w:rsidRPr="00072B2D">
        <w:rPr>
          <w:rFonts w:ascii="Verdana" w:eastAsia="Times New Roman" w:hAnsi="Verdana" w:cs="Calibri"/>
          <w:b/>
          <w:kern w:val="28"/>
          <w:sz w:val="24"/>
          <w:szCs w:val="24"/>
          <w:lang w:eastAsia="en-GB"/>
          <w14:cntxtAlts/>
        </w:rPr>
        <w:t xml:space="preserve">and development </w:t>
      </w:r>
    </w:p>
    <w:p w14:paraId="6C74E607" w14:textId="77777777" w:rsidR="00F22997" w:rsidRPr="00072B2D" w:rsidRDefault="007F17B2" w:rsidP="00F22997">
      <w:pPr>
        <w:rPr>
          <w:rFonts w:ascii="Verdana" w:eastAsia="Times New Roman" w:hAnsi="Verdana" w:cs="Calibri"/>
          <w:kern w:val="28"/>
          <w:lang w:eastAsia="en-GB"/>
          <w14:cntxtAlts/>
        </w:rPr>
      </w:pPr>
      <w:r w:rsidRPr="00072B2D">
        <w:rPr>
          <w:rFonts w:ascii="Verdana" w:eastAsia="Times New Roman" w:hAnsi="Verdana" w:cs="Calibri"/>
          <w:kern w:val="28"/>
          <w:lang w:eastAsia="en-GB"/>
          <w14:cntxtAlts/>
        </w:rPr>
        <w:t>J</w:t>
      </w:r>
      <w:r w:rsidR="00F22997" w:rsidRPr="00072B2D">
        <w:rPr>
          <w:rFonts w:ascii="Verdana" w:eastAsia="Times New Roman" w:hAnsi="Verdana" w:cs="Calibri"/>
          <w:kern w:val="28"/>
          <w:lang w:eastAsia="en-GB"/>
          <w14:cntxtAlts/>
        </w:rPr>
        <w:t xml:space="preserve">ob applicants </w:t>
      </w:r>
      <w:r w:rsidR="00A150C8" w:rsidRPr="00072B2D">
        <w:rPr>
          <w:rFonts w:ascii="Verdana" w:eastAsia="Times New Roman" w:hAnsi="Verdana" w:cs="Calibri"/>
          <w:kern w:val="28"/>
          <w:lang w:eastAsia="en-GB"/>
          <w14:cntxtAlts/>
        </w:rPr>
        <w:t xml:space="preserve">may </w:t>
      </w:r>
      <w:r w:rsidR="00F22997" w:rsidRPr="00072B2D">
        <w:rPr>
          <w:rFonts w:ascii="Verdana" w:eastAsia="Times New Roman" w:hAnsi="Verdana" w:cs="Calibri"/>
          <w:kern w:val="28"/>
          <w:lang w:eastAsia="en-GB"/>
          <w14:cntxtAlts/>
        </w:rPr>
        <w:t xml:space="preserve">look at an organisation’s gender pay gap as part of their pre-selection process before choosing to work for an employer. </w:t>
      </w:r>
      <w:r w:rsidR="007C321A" w:rsidRPr="00072B2D">
        <w:rPr>
          <w:rFonts w:ascii="Verdana" w:eastAsia="Times New Roman" w:hAnsi="Verdana" w:cs="Calibri"/>
          <w:kern w:val="28"/>
          <w:lang w:eastAsia="en-GB"/>
          <w14:cntxtAlts/>
        </w:rPr>
        <w:t>T</w:t>
      </w:r>
      <w:r w:rsidR="00392B9C" w:rsidRPr="00072B2D">
        <w:rPr>
          <w:rFonts w:ascii="Verdana" w:eastAsia="Times New Roman" w:hAnsi="Verdana" w:cs="Calibri"/>
          <w:kern w:val="28"/>
          <w:lang w:eastAsia="en-GB"/>
          <w14:cntxtAlts/>
        </w:rPr>
        <w:t xml:space="preserve">o improve the Service’s </w:t>
      </w:r>
      <w:proofErr w:type="gramStart"/>
      <w:r w:rsidR="00392B9C" w:rsidRPr="00072B2D">
        <w:rPr>
          <w:rFonts w:ascii="Verdana" w:eastAsia="Times New Roman" w:hAnsi="Verdana" w:cs="Calibri"/>
          <w:kern w:val="28"/>
          <w:lang w:eastAsia="en-GB"/>
          <w14:cntxtAlts/>
        </w:rPr>
        <w:t>gender</w:t>
      </w:r>
      <w:proofErr w:type="gramEnd"/>
      <w:r w:rsidR="00392B9C" w:rsidRPr="00072B2D">
        <w:rPr>
          <w:rFonts w:ascii="Verdana" w:eastAsia="Times New Roman" w:hAnsi="Verdana" w:cs="Calibri"/>
          <w:kern w:val="28"/>
          <w:lang w:eastAsia="en-GB"/>
          <w14:cntxtAlts/>
        </w:rPr>
        <w:t xml:space="preserve"> pay gap we need to address the attraction and retention of females within the Service and the career progression routes to the higher paid senior Operational and Support Service roles.</w:t>
      </w:r>
    </w:p>
    <w:p w14:paraId="5BA98F0E" w14:textId="7E0E0C31" w:rsidR="003E355A" w:rsidRDefault="002378AB" w:rsidP="00697F2A">
      <w:pPr>
        <w:spacing w:after="0"/>
        <w:rPr>
          <w:rFonts w:ascii="Verdana" w:eastAsia="Times New Roman" w:hAnsi="Verdana" w:cs="Calibri"/>
          <w:color w:val="000000"/>
          <w:kern w:val="28"/>
          <w:lang w:eastAsia="en-GB"/>
          <w14:cntxtAlts/>
        </w:rPr>
      </w:pPr>
      <w:r w:rsidRPr="00072B2D">
        <w:rPr>
          <w:rFonts w:ascii="Verdana" w:eastAsia="Times New Roman" w:hAnsi="Verdana" w:cs="Calibri"/>
          <w:kern w:val="28"/>
          <w:lang w:eastAsia="en-GB"/>
          <w14:cntxtAlts/>
        </w:rPr>
        <w:t>T</w:t>
      </w:r>
      <w:r w:rsidR="007F17B2" w:rsidRPr="00072B2D">
        <w:rPr>
          <w:rFonts w:ascii="Verdana" w:eastAsia="Times New Roman" w:hAnsi="Verdana" w:cs="Calibri"/>
          <w:kern w:val="28"/>
          <w:lang w:eastAsia="en-GB"/>
          <w14:cntxtAlts/>
        </w:rPr>
        <w:t xml:space="preserve">he Service has taken </w:t>
      </w:r>
      <w:r w:rsidR="00F22997" w:rsidRPr="00072B2D">
        <w:rPr>
          <w:rFonts w:ascii="Verdana" w:eastAsia="Times New Roman" w:hAnsi="Verdana" w:cs="Calibri"/>
          <w:kern w:val="28"/>
          <w:lang w:eastAsia="en-GB"/>
          <w14:cntxtAlts/>
        </w:rPr>
        <w:t xml:space="preserve">positive action to attract and recruit more females into </w:t>
      </w:r>
      <w:r w:rsidR="009B0032" w:rsidRPr="00072B2D">
        <w:rPr>
          <w:rFonts w:ascii="Verdana" w:eastAsia="Times New Roman" w:hAnsi="Verdana" w:cs="Calibri"/>
          <w:kern w:val="28"/>
          <w:lang w:eastAsia="en-GB"/>
          <w14:cntxtAlts/>
        </w:rPr>
        <w:t xml:space="preserve">Operational </w:t>
      </w:r>
      <w:r w:rsidR="00F22997" w:rsidRPr="00072B2D">
        <w:rPr>
          <w:rFonts w:ascii="Verdana" w:eastAsia="Times New Roman" w:hAnsi="Verdana" w:cs="Calibri"/>
          <w:kern w:val="28"/>
          <w:lang w:eastAsia="en-GB"/>
          <w14:cntxtAlts/>
        </w:rPr>
        <w:t>roles</w:t>
      </w:r>
      <w:r w:rsidRPr="00072B2D">
        <w:rPr>
          <w:rFonts w:ascii="Verdana" w:eastAsia="Times New Roman" w:hAnsi="Verdana" w:cs="Calibri"/>
          <w:kern w:val="28"/>
          <w:lang w:eastAsia="en-GB"/>
          <w14:cntxtAlts/>
        </w:rPr>
        <w:t>.</w:t>
      </w:r>
      <w:r w:rsidR="006A4C11" w:rsidRPr="00072B2D">
        <w:rPr>
          <w:rFonts w:ascii="Verdana" w:eastAsia="Times New Roman" w:hAnsi="Verdana" w:cs="Calibri"/>
          <w:kern w:val="28"/>
          <w:lang w:eastAsia="en-GB"/>
          <w14:cntxtAlts/>
        </w:rPr>
        <w:t xml:space="preserve"> </w:t>
      </w:r>
      <w:r w:rsidRPr="00072B2D">
        <w:rPr>
          <w:rFonts w:ascii="Verdana" w:eastAsia="Times New Roman" w:hAnsi="Verdana" w:cs="Calibri"/>
          <w:kern w:val="28"/>
          <w:lang w:eastAsia="en-GB"/>
          <w14:cntxtAlts/>
        </w:rPr>
        <w:t>In the lo</w:t>
      </w:r>
      <w:r w:rsidR="006A4C11" w:rsidRPr="00072B2D">
        <w:rPr>
          <w:rFonts w:ascii="Verdana" w:eastAsia="Times New Roman" w:hAnsi="Verdana" w:cs="Calibri"/>
          <w:kern w:val="28"/>
          <w:lang w:eastAsia="en-GB"/>
          <w14:cntxtAlts/>
        </w:rPr>
        <w:t>n</w:t>
      </w:r>
      <w:r w:rsidRPr="00072B2D">
        <w:rPr>
          <w:rFonts w:ascii="Verdana" w:eastAsia="Times New Roman" w:hAnsi="Verdana" w:cs="Calibri"/>
          <w:kern w:val="28"/>
          <w:lang w:eastAsia="en-GB"/>
          <w14:cntxtAlts/>
        </w:rPr>
        <w:t xml:space="preserve">ger </w:t>
      </w:r>
      <w:r w:rsidR="006A4C11" w:rsidRPr="00072B2D">
        <w:rPr>
          <w:rFonts w:ascii="Verdana" w:eastAsia="Times New Roman" w:hAnsi="Verdana" w:cs="Calibri"/>
          <w:kern w:val="28"/>
          <w:lang w:eastAsia="en-GB"/>
          <w14:cntxtAlts/>
        </w:rPr>
        <w:t>term, this</w:t>
      </w:r>
      <w:r w:rsidR="00F22997" w:rsidRPr="00072B2D">
        <w:rPr>
          <w:rFonts w:ascii="Verdana" w:eastAsia="Times New Roman" w:hAnsi="Verdana" w:cs="Calibri"/>
          <w:kern w:val="28"/>
          <w:lang w:eastAsia="en-GB"/>
          <w14:cntxtAlts/>
        </w:rPr>
        <w:t xml:space="preserve"> </w:t>
      </w:r>
      <w:r w:rsidR="00946641" w:rsidRPr="00072B2D">
        <w:rPr>
          <w:rFonts w:ascii="Verdana" w:eastAsia="Times New Roman" w:hAnsi="Verdana" w:cs="Calibri"/>
          <w:kern w:val="28"/>
          <w:lang w:eastAsia="en-GB"/>
          <w14:cntxtAlts/>
        </w:rPr>
        <w:t xml:space="preserve">will assist with lowering the </w:t>
      </w:r>
      <w:r w:rsidR="00F22997" w:rsidRPr="00072B2D">
        <w:rPr>
          <w:rFonts w:ascii="Verdana" w:eastAsia="Times New Roman" w:hAnsi="Verdana" w:cs="Calibri"/>
          <w:kern w:val="28"/>
          <w:lang w:eastAsia="en-GB"/>
          <w14:cntxtAlts/>
        </w:rPr>
        <w:t xml:space="preserve">gender pay gap. </w:t>
      </w:r>
      <w:r w:rsidR="003E355A" w:rsidRPr="00072B2D">
        <w:rPr>
          <w:rFonts w:ascii="Verdana" w:eastAsia="Times New Roman" w:hAnsi="Verdana" w:cs="Calibri"/>
          <w:kern w:val="28"/>
          <w:lang w:eastAsia="en-GB"/>
          <w14:cntxtAlts/>
        </w:rPr>
        <w:t xml:space="preserve">As the Service nurtures these individuals and supports them through </w:t>
      </w:r>
      <w:r w:rsidR="003E355A">
        <w:rPr>
          <w:rFonts w:ascii="Verdana" w:eastAsia="Times New Roman" w:hAnsi="Verdana" w:cs="Calibri"/>
          <w:color w:val="000000"/>
          <w:kern w:val="28"/>
          <w:lang w:eastAsia="en-GB"/>
          <w14:cntxtAlts/>
        </w:rPr>
        <w:t xml:space="preserve">their development and for some, promotions through the ranks to more senior roles, the </w:t>
      </w:r>
      <w:r w:rsidR="00AA507E">
        <w:rPr>
          <w:rFonts w:ascii="Verdana" w:eastAsia="Times New Roman" w:hAnsi="Verdana" w:cs="Calibri"/>
          <w:color w:val="000000"/>
          <w:kern w:val="28"/>
          <w:lang w:eastAsia="en-GB"/>
          <w14:cntxtAlts/>
        </w:rPr>
        <w:t>Service</w:t>
      </w:r>
      <w:r w:rsidR="003E355A">
        <w:rPr>
          <w:rFonts w:ascii="Verdana" w:eastAsia="Times New Roman" w:hAnsi="Verdana" w:cs="Calibri"/>
          <w:color w:val="000000"/>
          <w:kern w:val="28"/>
          <w:lang w:eastAsia="en-GB"/>
          <w14:cntxtAlts/>
        </w:rPr>
        <w:t xml:space="preserve"> will start to see the impact of this positive action and further re</w:t>
      </w:r>
      <w:r w:rsidR="003E355A" w:rsidRPr="00F44D8A">
        <w:rPr>
          <w:rFonts w:ascii="Verdana" w:hAnsi="Verdana"/>
        </w:rPr>
        <w:t xml:space="preserve">duce and eventually </w:t>
      </w:r>
      <w:r w:rsidR="003E355A">
        <w:rPr>
          <w:rFonts w:ascii="Verdana" w:hAnsi="Verdana"/>
        </w:rPr>
        <w:t>eliminate the gender pay gap</w:t>
      </w:r>
      <w:r w:rsidR="00BE2D2C">
        <w:rPr>
          <w:rFonts w:ascii="Verdana" w:hAnsi="Verdana"/>
        </w:rPr>
        <w:t>.</w:t>
      </w:r>
      <w:r w:rsidR="00015329">
        <w:rPr>
          <w:rFonts w:ascii="Verdana" w:hAnsi="Verdana"/>
        </w:rPr>
        <w:t xml:space="preserve"> </w:t>
      </w:r>
    </w:p>
    <w:p w14:paraId="09C4C5EA" w14:textId="77777777" w:rsidR="00160CE6" w:rsidRDefault="00160CE6">
      <w:pPr>
        <w:rPr>
          <w:rFonts w:ascii="Verdana" w:hAnsi="Verdana"/>
          <w:b/>
          <w:sz w:val="24"/>
          <w:szCs w:val="24"/>
        </w:rPr>
      </w:pPr>
    </w:p>
    <w:p w14:paraId="01D968C5" w14:textId="3707A5CF" w:rsidR="009322E0" w:rsidRPr="00DF2A61" w:rsidRDefault="009322E0">
      <w:pPr>
        <w:rPr>
          <w:rFonts w:ascii="Verdana" w:hAnsi="Verdana"/>
          <w:b/>
          <w:sz w:val="24"/>
          <w:szCs w:val="24"/>
        </w:rPr>
      </w:pPr>
      <w:r w:rsidRPr="00DF2A61">
        <w:rPr>
          <w:rFonts w:ascii="Verdana" w:hAnsi="Verdana"/>
          <w:b/>
          <w:sz w:val="24"/>
          <w:szCs w:val="24"/>
        </w:rPr>
        <w:lastRenderedPageBreak/>
        <w:t xml:space="preserve">Terms and conditions </w:t>
      </w:r>
    </w:p>
    <w:p w14:paraId="0C950398" w14:textId="5CF7199C" w:rsidR="009322E0" w:rsidRPr="0021295B" w:rsidRDefault="0021295B" w:rsidP="003E355A">
      <w:pPr>
        <w:rPr>
          <w:rFonts w:ascii="Verdana" w:hAnsi="Verdana"/>
        </w:rPr>
      </w:pPr>
      <w:r w:rsidRPr="0021295B">
        <w:rPr>
          <w:rFonts w:ascii="Verdana" w:hAnsi="Verdana"/>
        </w:rPr>
        <w:t xml:space="preserve">The </w:t>
      </w:r>
      <w:r w:rsidR="002C7949">
        <w:rPr>
          <w:rFonts w:ascii="Verdana" w:hAnsi="Verdana"/>
        </w:rPr>
        <w:t>Service</w:t>
      </w:r>
      <w:r>
        <w:rPr>
          <w:rFonts w:ascii="Verdana" w:hAnsi="Verdana"/>
        </w:rPr>
        <w:t>’s Pay Policy statement is reviewed and updated annually. Its purpose is to provide transparency to the pay policy adopted</w:t>
      </w:r>
      <w:r w:rsidRPr="00BB63EE">
        <w:rPr>
          <w:rFonts w:ascii="Verdana" w:hAnsi="Verdana"/>
        </w:rPr>
        <w:t xml:space="preserve">. </w:t>
      </w:r>
      <w:r w:rsidR="00B75E09" w:rsidRPr="00BB63EE">
        <w:rPr>
          <w:rFonts w:ascii="Verdana" w:hAnsi="Verdana"/>
        </w:rPr>
        <w:t>T</w:t>
      </w:r>
      <w:r w:rsidRPr="00BB63EE">
        <w:rPr>
          <w:rFonts w:ascii="Verdana" w:hAnsi="Verdana"/>
        </w:rPr>
        <w:t xml:space="preserve">he </w:t>
      </w:r>
      <w:r w:rsidRPr="003E355A">
        <w:rPr>
          <w:rFonts w:ascii="Verdana" w:hAnsi="Verdana"/>
        </w:rPr>
        <w:t>202</w:t>
      </w:r>
      <w:r w:rsidR="003D64E0">
        <w:rPr>
          <w:rFonts w:ascii="Verdana" w:hAnsi="Verdana"/>
        </w:rPr>
        <w:t>2</w:t>
      </w:r>
      <w:r w:rsidR="00F97FE4">
        <w:rPr>
          <w:rFonts w:ascii="Verdana" w:hAnsi="Verdana"/>
        </w:rPr>
        <w:t>/2</w:t>
      </w:r>
      <w:r w:rsidR="003D64E0">
        <w:rPr>
          <w:rFonts w:ascii="Verdana" w:hAnsi="Verdana"/>
        </w:rPr>
        <w:t>3</w:t>
      </w:r>
      <w:r w:rsidRPr="003E355A">
        <w:rPr>
          <w:rFonts w:ascii="Verdana" w:hAnsi="Verdana"/>
        </w:rPr>
        <w:t xml:space="preserve"> Pay Policy</w:t>
      </w:r>
      <w:r w:rsidR="00251AFB" w:rsidRPr="003E355A">
        <w:rPr>
          <w:rFonts w:ascii="Verdana" w:hAnsi="Verdana"/>
        </w:rPr>
        <w:t xml:space="preserve"> </w:t>
      </w:r>
      <w:r w:rsidR="003806F3" w:rsidRPr="003E355A">
        <w:rPr>
          <w:rFonts w:ascii="Verdana" w:hAnsi="Verdana"/>
        </w:rPr>
        <w:t>(approved by the Fire Authority at its meeting on 1</w:t>
      </w:r>
      <w:r w:rsidR="003D64E0">
        <w:rPr>
          <w:rFonts w:ascii="Verdana" w:hAnsi="Verdana"/>
        </w:rPr>
        <w:t>6</w:t>
      </w:r>
      <w:r w:rsidR="003806F3" w:rsidRPr="003E355A">
        <w:rPr>
          <w:rFonts w:ascii="Verdana" w:hAnsi="Verdana"/>
        </w:rPr>
        <w:t xml:space="preserve"> February 20</w:t>
      </w:r>
      <w:r w:rsidR="005B256A">
        <w:rPr>
          <w:rFonts w:ascii="Verdana" w:hAnsi="Verdana"/>
        </w:rPr>
        <w:t>2</w:t>
      </w:r>
      <w:r w:rsidR="003D64E0">
        <w:rPr>
          <w:rFonts w:ascii="Verdana" w:hAnsi="Verdana"/>
        </w:rPr>
        <w:t>2</w:t>
      </w:r>
      <w:r w:rsidR="003806F3" w:rsidRPr="003E355A">
        <w:rPr>
          <w:rFonts w:ascii="Verdana" w:hAnsi="Verdana"/>
        </w:rPr>
        <w:t>)</w:t>
      </w:r>
      <w:r w:rsidR="003806F3" w:rsidRPr="00BB63EE">
        <w:rPr>
          <w:rFonts w:ascii="Verdana" w:hAnsi="Verdana"/>
        </w:rPr>
        <w:t xml:space="preserve"> </w:t>
      </w:r>
      <w:r w:rsidR="008B42E9" w:rsidRPr="00BB63EE">
        <w:rPr>
          <w:rFonts w:ascii="Verdana" w:hAnsi="Verdana"/>
        </w:rPr>
        <w:t xml:space="preserve">sets out </w:t>
      </w:r>
      <w:r w:rsidR="006A4C11" w:rsidRPr="00BB63EE">
        <w:rPr>
          <w:rFonts w:ascii="Verdana" w:hAnsi="Verdana"/>
        </w:rPr>
        <w:t>l</w:t>
      </w:r>
      <w:r w:rsidR="00251AFB" w:rsidRPr="00BB63EE">
        <w:rPr>
          <w:rFonts w:ascii="Verdana" w:hAnsi="Verdana"/>
        </w:rPr>
        <w:t>evel</w:t>
      </w:r>
      <w:r w:rsidR="008B42E9" w:rsidRPr="00BB63EE">
        <w:rPr>
          <w:rFonts w:ascii="Verdana" w:hAnsi="Verdana"/>
        </w:rPr>
        <w:t>s of</w:t>
      </w:r>
      <w:r w:rsidR="00251AFB" w:rsidRPr="00BB63EE">
        <w:rPr>
          <w:rFonts w:ascii="Verdana" w:hAnsi="Verdana"/>
        </w:rPr>
        <w:t xml:space="preserve"> and elements of remuneration</w:t>
      </w:r>
      <w:r w:rsidR="007C321A">
        <w:rPr>
          <w:rFonts w:ascii="Verdana" w:hAnsi="Verdana"/>
        </w:rPr>
        <w:t xml:space="preserve"> for 202</w:t>
      </w:r>
      <w:r w:rsidR="003D64E0">
        <w:rPr>
          <w:rFonts w:ascii="Verdana" w:hAnsi="Verdana"/>
        </w:rPr>
        <w:t>2</w:t>
      </w:r>
      <w:r w:rsidR="00F97FE4">
        <w:rPr>
          <w:rFonts w:ascii="Verdana" w:hAnsi="Verdana"/>
        </w:rPr>
        <w:t>/2</w:t>
      </w:r>
      <w:r w:rsidR="003D64E0">
        <w:rPr>
          <w:rFonts w:ascii="Verdana" w:hAnsi="Verdana"/>
        </w:rPr>
        <w:t>3</w:t>
      </w:r>
      <w:r w:rsidR="007C321A">
        <w:rPr>
          <w:rFonts w:ascii="Verdana" w:hAnsi="Verdana"/>
        </w:rPr>
        <w:t xml:space="preserve"> to which this report relates</w:t>
      </w:r>
      <w:r w:rsidR="003806F3" w:rsidRPr="00BB63EE">
        <w:rPr>
          <w:rFonts w:ascii="Verdana" w:hAnsi="Verdana"/>
        </w:rPr>
        <w:t>.</w:t>
      </w:r>
      <w:r w:rsidR="000120F2">
        <w:rPr>
          <w:rFonts w:ascii="Verdana" w:hAnsi="Verdana"/>
        </w:rPr>
        <w:t xml:space="preserve"> </w:t>
      </w:r>
    </w:p>
    <w:p w14:paraId="63D64C68" w14:textId="3E215401" w:rsidR="001B02CF" w:rsidRDefault="0021295B" w:rsidP="00A066DA">
      <w:pPr>
        <w:rPr>
          <w:rFonts w:ascii="Verdana" w:hAnsi="Verdana"/>
        </w:rPr>
      </w:pPr>
      <w:proofErr w:type="gramStart"/>
      <w:r w:rsidRPr="00BE4F68">
        <w:rPr>
          <w:rFonts w:ascii="Verdana" w:hAnsi="Verdana"/>
        </w:rPr>
        <w:t>The majority of</w:t>
      </w:r>
      <w:proofErr w:type="gramEnd"/>
      <w:r w:rsidRPr="00BE4F68">
        <w:rPr>
          <w:rFonts w:ascii="Verdana" w:hAnsi="Verdana"/>
        </w:rPr>
        <w:t xml:space="preserve"> </w:t>
      </w:r>
      <w:r w:rsidR="002C683B">
        <w:rPr>
          <w:rFonts w:ascii="Verdana" w:hAnsi="Verdana"/>
        </w:rPr>
        <w:t xml:space="preserve">employees </w:t>
      </w:r>
      <w:r w:rsidRPr="00BE4F68">
        <w:rPr>
          <w:rFonts w:ascii="Verdana" w:hAnsi="Verdana"/>
        </w:rPr>
        <w:t>are employed under contracts with either</w:t>
      </w:r>
      <w:r w:rsidR="00FB2356">
        <w:rPr>
          <w:rFonts w:ascii="Verdana" w:hAnsi="Verdana"/>
        </w:rPr>
        <w:t xml:space="preserve"> </w:t>
      </w:r>
      <w:r w:rsidRPr="00BE4F68">
        <w:rPr>
          <w:rFonts w:ascii="Verdana" w:hAnsi="Verdana"/>
        </w:rPr>
        <w:t>the terms and conditions of the NJC for Local Authority Fire and Rescue Services Scheme of Conditions of Service, 2004 “the Grey Book” incorporated</w:t>
      </w:r>
      <w:r w:rsidR="003D5A7D">
        <w:rPr>
          <w:rFonts w:ascii="Verdana" w:hAnsi="Verdana"/>
        </w:rPr>
        <w:t>,</w:t>
      </w:r>
      <w:r w:rsidRPr="00BE4F68">
        <w:rPr>
          <w:rFonts w:ascii="Verdana" w:hAnsi="Verdana"/>
        </w:rPr>
        <w:t xml:space="preserve"> or with the provisions of the local terms and conditions of Buckinghamshire </w:t>
      </w:r>
      <w:r w:rsidR="006D6E43">
        <w:rPr>
          <w:rFonts w:ascii="Verdana" w:hAnsi="Verdana"/>
        </w:rPr>
        <w:t>&amp;</w:t>
      </w:r>
      <w:r w:rsidRPr="00BE4F68">
        <w:rPr>
          <w:rFonts w:ascii="Verdana" w:hAnsi="Verdana"/>
        </w:rPr>
        <w:t xml:space="preserve"> Milton Keynes Fire Authority Scheme of Conditions of Service for Support Services </w:t>
      </w:r>
      <w:r w:rsidR="002C683B">
        <w:rPr>
          <w:rFonts w:ascii="Verdana" w:hAnsi="Verdana"/>
        </w:rPr>
        <w:t>employees</w:t>
      </w:r>
      <w:r w:rsidRPr="00BE4F68">
        <w:rPr>
          <w:rFonts w:ascii="Verdana" w:hAnsi="Verdana"/>
        </w:rPr>
        <w:t xml:space="preserve">. </w:t>
      </w:r>
    </w:p>
    <w:p w14:paraId="5C26A4C9" w14:textId="6AEE5CB8" w:rsidR="00D65696" w:rsidRDefault="00D967B2" w:rsidP="003C6650">
      <w:pPr>
        <w:spacing w:after="0"/>
        <w:rPr>
          <w:rFonts w:ascii="Verdana" w:hAnsi="Verdana"/>
        </w:rPr>
      </w:pPr>
      <w:r>
        <w:rPr>
          <w:rFonts w:ascii="Verdana" w:hAnsi="Verdana"/>
        </w:rPr>
        <w:t>Pay and allowances differ under each set of terms and conditions</w:t>
      </w:r>
      <w:r w:rsidR="009F137F">
        <w:rPr>
          <w:rFonts w:ascii="Verdana" w:hAnsi="Verdana"/>
        </w:rPr>
        <w:t>.</w:t>
      </w:r>
      <w:r>
        <w:rPr>
          <w:rFonts w:ascii="Verdana" w:hAnsi="Verdana"/>
        </w:rPr>
        <w:t xml:space="preserve"> </w:t>
      </w:r>
      <w:proofErr w:type="gramStart"/>
      <w:r w:rsidR="005737BD">
        <w:rPr>
          <w:rFonts w:ascii="Verdana" w:hAnsi="Verdana"/>
        </w:rPr>
        <w:t>A number of</w:t>
      </w:r>
      <w:proofErr w:type="gramEnd"/>
      <w:r w:rsidR="005737BD">
        <w:rPr>
          <w:rFonts w:ascii="Verdana" w:hAnsi="Verdana"/>
        </w:rPr>
        <w:t xml:space="preserve"> allowances and additional payments are </w:t>
      </w:r>
      <w:r w:rsidR="00E27F83">
        <w:rPr>
          <w:rFonts w:ascii="Verdana" w:hAnsi="Verdana"/>
        </w:rPr>
        <w:t xml:space="preserve">available for </w:t>
      </w:r>
      <w:r w:rsidR="009B0032">
        <w:rPr>
          <w:rFonts w:ascii="Verdana" w:hAnsi="Verdana"/>
        </w:rPr>
        <w:t xml:space="preserve">Operational </w:t>
      </w:r>
      <w:r w:rsidR="005737BD">
        <w:rPr>
          <w:rFonts w:ascii="Verdana" w:hAnsi="Verdana"/>
        </w:rPr>
        <w:t xml:space="preserve">employees, for example </w:t>
      </w:r>
      <w:r w:rsidR="00E27F83">
        <w:rPr>
          <w:rFonts w:ascii="Verdana" w:hAnsi="Verdana"/>
        </w:rPr>
        <w:t>with the</w:t>
      </w:r>
      <w:r w:rsidR="005737BD">
        <w:rPr>
          <w:rFonts w:ascii="Verdana" w:hAnsi="Verdana"/>
        </w:rPr>
        <w:t xml:space="preserve"> different duty systems, specialist roles, temporary promotions, </w:t>
      </w:r>
      <w:r w:rsidR="00E27F83">
        <w:rPr>
          <w:rFonts w:ascii="Verdana" w:hAnsi="Verdana"/>
        </w:rPr>
        <w:t xml:space="preserve">opportunity to undertake additional hours through the </w:t>
      </w:r>
      <w:r w:rsidR="005737BD">
        <w:rPr>
          <w:rFonts w:ascii="Verdana" w:hAnsi="Verdana"/>
        </w:rPr>
        <w:t xml:space="preserve">bank system. Whilst some allowances are paid to Support Services </w:t>
      </w:r>
      <w:r w:rsidR="002C683B">
        <w:rPr>
          <w:rFonts w:ascii="Verdana" w:hAnsi="Verdana"/>
        </w:rPr>
        <w:t>employees</w:t>
      </w:r>
      <w:r w:rsidR="005737BD">
        <w:rPr>
          <w:rFonts w:ascii="Verdana" w:hAnsi="Verdana"/>
        </w:rPr>
        <w:t xml:space="preserve">, the majority are paid to </w:t>
      </w:r>
      <w:r w:rsidR="00C041F9">
        <w:rPr>
          <w:rFonts w:ascii="Verdana" w:hAnsi="Verdana"/>
        </w:rPr>
        <w:t>O</w:t>
      </w:r>
      <w:r w:rsidR="005737BD">
        <w:rPr>
          <w:rFonts w:ascii="Verdana" w:hAnsi="Verdana"/>
        </w:rPr>
        <w:t xml:space="preserve">perational </w:t>
      </w:r>
      <w:r w:rsidR="002C683B">
        <w:rPr>
          <w:rFonts w:ascii="Verdana" w:hAnsi="Verdana"/>
        </w:rPr>
        <w:t>employees</w:t>
      </w:r>
      <w:r w:rsidR="005737BD">
        <w:rPr>
          <w:rFonts w:ascii="Verdana" w:hAnsi="Verdana"/>
        </w:rPr>
        <w:t xml:space="preserve">, which is the largest group of employees, with the majority being males. This directly </w:t>
      </w:r>
      <w:r w:rsidR="00E2647C">
        <w:rPr>
          <w:rFonts w:ascii="Verdana" w:hAnsi="Verdana"/>
        </w:rPr>
        <w:t>influences</w:t>
      </w:r>
      <w:r w:rsidR="005737BD">
        <w:rPr>
          <w:rFonts w:ascii="Verdana" w:hAnsi="Verdana"/>
        </w:rPr>
        <w:t xml:space="preserve"> the gender pay gap.</w:t>
      </w:r>
    </w:p>
    <w:p w14:paraId="7E9BD78F" w14:textId="3BA979CB" w:rsidR="00A94B4B" w:rsidRDefault="00A94B4B" w:rsidP="003C6650">
      <w:pPr>
        <w:spacing w:after="0"/>
        <w:rPr>
          <w:rFonts w:ascii="Verdana" w:hAnsi="Verdana"/>
        </w:rPr>
      </w:pPr>
    </w:p>
    <w:p w14:paraId="4E4E11EB" w14:textId="77777777" w:rsidR="007E41FC" w:rsidRPr="00F22997" w:rsidRDefault="007E41FC" w:rsidP="007E41FC">
      <w:pPr>
        <w:widowControl w:val="0"/>
        <w:spacing w:after="120" w:line="285" w:lineRule="auto"/>
        <w:rPr>
          <w:rFonts w:ascii="Verdana" w:eastAsia="Times New Roman" w:hAnsi="Verdana" w:cs="Calibri"/>
          <w:b/>
          <w:bCs/>
          <w:color w:val="000000"/>
          <w:kern w:val="28"/>
          <w:lang w:eastAsia="en-GB"/>
          <w14:cntxtAlts/>
        </w:rPr>
      </w:pPr>
      <w:r w:rsidRPr="00BD360A">
        <w:rPr>
          <w:rFonts w:ascii="Verdana" w:eastAsia="Times New Roman" w:hAnsi="Verdana" w:cs="Calibri"/>
          <w:b/>
          <w:bCs/>
          <w:color w:val="000000"/>
          <w:kern w:val="28"/>
          <w:sz w:val="24"/>
          <w:szCs w:val="24"/>
          <w:lang w:eastAsia="en-GB"/>
          <w14:cntxtAlts/>
        </w:rPr>
        <w:t>What information must be reported</w:t>
      </w:r>
    </w:p>
    <w:p w14:paraId="24124E19" w14:textId="77777777" w:rsidR="007E41FC" w:rsidRPr="007E41FC" w:rsidRDefault="007E41FC" w:rsidP="007E41FC">
      <w:pPr>
        <w:widowControl w:val="0"/>
        <w:spacing w:after="120" w:line="285" w:lineRule="auto"/>
        <w:rPr>
          <w:rFonts w:ascii="Verdana" w:eastAsia="Times New Roman" w:hAnsi="Verdana" w:cs="Calibri"/>
          <w:color w:val="000000"/>
          <w:kern w:val="28"/>
          <w:lang w:eastAsia="en-GB"/>
          <w14:cntxtAlts/>
        </w:rPr>
      </w:pPr>
      <w:r w:rsidRPr="007E41FC">
        <w:rPr>
          <w:rFonts w:ascii="Verdana" w:eastAsia="Times New Roman" w:hAnsi="Verdana" w:cs="Calibri"/>
          <w:color w:val="000000"/>
          <w:kern w:val="28"/>
          <w:lang w:eastAsia="en-GB"/>
          <w14:cntxtAlts/>
        </w:rPr>
        <w:t>The gender pay gap calculations are drawn from specific data each year and based on full-pay relevant employees. To be included as a full-pay relevant employee, the employee must be:</w:t>
      </w:r>
    </w:p>
    <w:p w14:paraId="6D4AD3DF" w14:textId="77777777" w:rsidR="007E41FC" w:rsidRPr="007E41FC" w:rsidRDefault="007E41FC" w:rsidP="00BB3BC5">
      <w:pPr>
        <w:pStyle w:val="ListParagraph"/>
        <w:widowControl w:val="0"/>
        <w:numPr>
          <w:ilvl w:val="0"/>
          <w:numId w:val="3"/>
        </w:numPr>
        <w:spacing w:after="120" w:line="285" w:lineRule="auto"/>
        <w:rPr>
          <w:rFonts w:ascii="Verdana" w:eastAsia="Times New Roman" w:hAnsi="Verdana" w:cs="Calibri"/>
          <w:color w:val="000000"/>
          <w:kern w:val="28"/>
          <w:lang w:eastAsia="en-GB"/>
          <w14:cntxtAlts/>
        </w:rPr>
      </w:pPr>
      <w:r w:rsidRPr="007E41FC">
        <w:rPr>
          <w:rFonts w:ascii="Verdana" w:eastAsia="Times New Roman" w:hAnsi="Verdana" w:cs="Calibri"/>
          <w:color w:val="000000"/>
          <w:kern w:val="28"/>
          <w:lang w:eastAsia="en-GB"/>
          <w14:cntxtAlts/>
        </w:rPr>
        <w:t>Employed on the snapshot date; 31 March each year</w:t>
      </w:r>
    </w:p>
    <w:p w14:paraId="6AAEF417" w14:textId="77777777" w:rsidR="007E41FC" w:rsidRPr="007E41FC" w:rsidRDefault="007E41FC" w:rsidP="00BB3BC5">
      <w:pPr>
        <w:pStyle w:val="ListParagraph"/>
        <w:widowControl w:val="0"/>
        <w:numPr>
          <w:ilvl w:val="0"/>
          <w:numId w:val="2"/>
        </w:numPr>
        <w:spacing w:after="120" w:line="285" w:lineRule="auto"/>
        <w:rPr>
          <w:rFonts w:ascii="Verdana" w:eastAsia="Times New Roman" w:hAnsi="Verdana" w:cs="Calibri"/>
          <w:color w:val="000000"/>
          <w:kern w:val="28"/>
          <w:lang w:eastAsia="en-GB"/>
          <w14:cntxtAlts/>
        </w:rPr>
      </w:pPr>
      <w:r w:rsidRPr="007E41FC">
        <w:rPr>
          <w:rFonts w:ascii="Verdana" w:eastAsia="Times New Roman" w:hAnsi="Verdana" w:cs="Calibri"/>
          <w:color w:val="000000"/>
          <w:kern w:val="28"/>
          <w:lang w:eastAsia="en-GB"/>
          <w14:cntxtAlts/>
        </w:rPr>
        <w:t>Paid their usual full</w:t>
      </w:r>
      <w:r w:rsidR="00DC4224">
        <w:rPr>
          <w:rFonts w:ascii="Verdana" w:eastAsia="Times New Roman" w:hAnsi="Verdana" w:cs="Calibri"/>
          <w:color w:val="000000"/>
          <w:kern w:val="28"/>
          <w:lang w:eastAsia="en-GB"/>
          <w14:cntxtAlts/>
        </w:rPr>
        <w:t>-</w:t>
      </w:r>
      <w:r w:rsidRPr="007E41FC">
        <w:rPr>
          <w:rFonts w:ascii="Verdana" w:eastAsia="Times New Roman" w:hAnsi="Verdana" w:cs="Calibri"/>
          <w:color w:val="000000"/>
          <w:kern w:val="28"/>
          <w:lang w:eastAsia="en-GB"/>
          <w14:cntxtAlts/>
        </w:rPr>
        <w:t>pay in the pay period ending on the snapshot date</w:t>
      </w:r>
      <w:r w:rsidRPr="007E41FC">
        <w:rPr>
          <w:rFonts w:ascii="Verdana" w:eastAsia="Times New Roman" w:hAnsi="Verdana" w:cs="Calibri"/>
          <w:color w:val="C00000"/>
          <w:kern w:val="28"/>
          <w:lang w:eastAsia="en-GB"/>
          <w14:cntxtAlts/>
        </w:rPr>
        <w:t xml:space="preserve"> </w:t>
      </w:r>
    </w:p>
    <w:p w14:paraId="54D70DB7" w14:textId="6439EECA" w:rsidR="00AC7E7C" w:rsidRDefault="00EF74E7" w:rsidP="009B29F3">
      <w:pPr>
        <w:widowControl w:val="0"/>
        <w:spacing w:before="240" w:after="120"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The table b</w:t>
      </w:r>
      <w:r w:rsidR="002D6119">
        <w:rPr>
          <w:rFonts w:ascii="Verdana" w:eastAsia="Times New Roman" w:hAnsi="Verdana" w:cs="Calibri"/>
          <w:color w:val="000000"/>
          <w:kern w:val="28"/>
          <w:lang w:eastAsia="en-GB"/>
          <w14:cntxtAlts/>
        </w:rPr>
        <w:t xml:space="preserve">elow details the </w:t>
      </w:r>
      <w:r w:rsidR="00AC7E7C">
        <w:rPr>
          <w:rFonts w:ascii="Verdana" w:eastAsia="Times New Roman" w:hAnsi="Verdana" w:cs="Calibri"/>
          <w:color w:val="000000"/>
          <w:kern w:val="28"/>
          <w:lang w:eastAsia="en-GB"/>
          <w14:cntxtAlts/>
        </w:rPr>
        <w:t xml:space="preserve">total </w:t>
      </w:r>
      <w:r w:rsidR="002D3607">
        <w:rPr>
          <w:rFonts w:ascii="Verdana" w:eastAsia="Times New Roman" w:hAnsi="Verdana" w:cs="Calibri"/>
          <w:color w:val="000000"/>
          <w:kern w:val="28"/>
          <w:lang w:eastAsia="en-GB"/>
          <w14:cntxtAlts/>
        </w:rPr>
        <w:t xml:space="preserve">number </w:t>
      </w:r>
      <w:r w:rsidR="00AC7E7C">
        <w:rPr>
          <w:rFonts w:ascii="Verdana" w:eastAsia="Times New Roman" w:hAnsi="Verdana" w:cs="Calibri"/>
          <w:color w:val="000000"/>
          <w:kern w:val="28"/>
          <w:lang w:eastAsia="en-GB"/>
          <w14:cntxtAlts/>
        </w:rPr>
        <w:t xml:space="preserve">of employees in scope </w:t>
      </w:r>
      <w:r w:rsidR="002D6119">
        <w:rPr>
          <w:rFonts w:ascii="Verdana" w:eastAsia="Times New Roman" w:hAnsi="Verdana" w:cs="Calibri"/>
          <w:color w:val="000000"/>
          <w:kern w:val="28"/>
          <w:lang w:eastAsia="en-GB"/>
          <w14:cntxtAlts/>
        </w:rPr>
        <w:t>for 20</w:t>
      </w:r>
      <w:r w:rsidR="002C2A47">
        <w:rPr>
          <w:rFonts w:ascii="Verdana" w:eastAsia="Times New Roman" w:hAnsi="Verdana" w:cs="Calibri"/>
          <w:color w:val="000000"/>
          <w:kern w:val="28"/>
          <w:lang w:eastAsia="en-GB"/>
          <w14:cntxtAlts/>
        </w:rPr>
        <w:t>2</w:t>
      </w:r>
      <w:r w:rsidR="004F517D">
        <w:rPr>
          <w:rFonts w:ascii="Verdana" w:eastAsia="Times New Roman" w:hAnsi="Verdana" w:cs="Calibri"/>
          <w:color w:val="000000"/>
          <w:kern w:val="28"/>
          <w:lang w:eastAsia="en-GB"/>
          <w14:cntxtAlts/>
        </w:rPr>
        <w:t>2</w:t>
      </w:r>
      <w:r w:rsidR="002D6119">
        <w:rPr>
          <w:rFonts w:ascii="Verdana" w:eastAsia="Times New Roman" w:hAnsi="Verdana" w:cs="Calibri"/>
          <w:color w:val="000000"/>
          <w:kern w:val="28"/>
          <w:lang w:eastAsia="en-GB"/>
          <w14:cntxtAlts/>
        </w:rPr>
        <w:t xml:space="preserve"> compared to </w:t>
      </w:r>
      <w:r w:rsidR="003D64E0">
        <w:rPr>
          <w:rFonts w:ascii="Verdana" w:eastAsia="Times New Roman" w:hAnsi="Verdana" w:cs="Calibri"/>
          <w:color w:val="000000"/>
          <w:kern w:val="28"/>
          <w:lang w:eastAsia="en-GB"/>
          <w14:cntxtAlts/>
        </w:rPr>
        <w:t>the previous five years</w:t>
      </w:r>
      <w:r w:rsidR="00AC7E7C">
        <w:rPr>
          <w:rFonts w:ascii="Verdana" w:eastAsia="Times New Roman" w:hAnsi="Verdana" w:cs="Calibri"/>
          <w:color w:val="000000"/>
          <w:kern w:val="28"/>
          <w:lang w:eastAsia="en-GB"/>
          <w14:cntxtAlts/>
        </w:rPr>
        <w:t>:</w:t>
      </w:r>
    </w:p>
    <w:tbl>
      <w:tblPr>
        <w:tblStyle w:val="TableGrid"/>
        <w:tblW w:w="0" w:type="auto"/>
        <w:tblLook w:val="04A0" w:firstRow="1" w:lastRow="0" w:firstColumn="1" w:lastColumn="0" w:noHBand="0" w:noVBand="1"/>
      </w:tblPr>
      <w:tblGrid>
        <w:gridCol w:w="1176"/>
        <w:gridCol w:w="4091"/>
        <w:gridCol w:w="978"/>
        <w:gridCol w:w="1135"/>
        <w:gridCol w:w="861"/>
      </w:tblGrid>
      <w:tr w:rsidR="00520DD3" w14:paraId="27E2D9FC" w14:textId="07B33187" w:rsidTr="00FD7EB0">
        <w:tc>
          <w:tcPr>
            <w:tcW w:w="1176" w:type="dxa"/>
            <w:shd w:val="clear" w:color="auto" w:fill="D9D9D9" w:themeFill="background1" w:themeFillShade="D9"/>
          </w:tcPr>
          <w:p w14:paraId="59360CE1" w14:textId="77777777" w:rsidR="00520DD3" w:rsidRDefault="00520DD3" w:rsidP="00AC7E7C">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Year</w:t>
            </w:r>
          </w:p>
        </w:tc>
        <w:tc>
          <w:tcPr>
            <w:tcW w:w="4091" w:type="dxa"/>
            <w:shd w:val="clear" w:color="auto" w:fill="D9D9D9" w:themeFill="background1" w:themeFillShade="D9"/>
          </w:tcPr>
          <w:p w14:paraId="0999070E" w14:textId="77777777" w:rsidR="00520DD3" w:rsidRDefault="00520DD3" w:rsidP="00AC7E7C">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Total number of employees in scope</w:t>
            </w:r>
          </w:p>
        </w:tc>
        <w:tc>
          <w:tcPr>
            <w:tcW w:w="978" w:type="dxa"/>
            <w:shd w:val="clear" w:color="auto" w:fill="D9D9D9" w:themeFill="background1" w:themeFillShade="D9"/>
          </w:tcPr>
          <w:p w14:paraId="4EB06C77" w14:textId="77777777" w:rsidR="00520DD3" w:rsidRDefault="00520DD3" w:rsidP="00AC7E7C">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 xml:space="preserve">Males </w:t>
            </w:r>
          </w:p>
        </w:tc>
        <w:tc>
          <w:tcPr>
            <w:tcW w:w="1135" w:type="dxa"/>
            <w:shd w:val="clear" w:color="auto" w:fill="D9D9D9" w:themeFill="background1" w:themeFillShade="D9"/>
          </w:tcPr>
          <w:p w14:paraId="613DFCE7" w14:textId="77777777" w:rsidR="00520DD3" w:rsidRDefault="00520DD3" w:rsidP="00AC7E7C">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Females</w:t>
            </w:r>
          </w:p>
        </w:tc>
        <w:tc>
          <w:tcPr>
            <w:tcW w:w="861" w:type="dxa"/>
            <w:shd w:val="clear" w:color="auto" w:fill="D9D9D9" w:themeFill="background1" w:themeFillShade="D9"/>
          </w:tcPr>
          <w:p w14:paraId="221C046F" w14:textId="77777777" w:rsidR="00520DD3" w:rsidRDefault="00520DD3" w:rsidP="00AC7E7C">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Total</w:t>
            </w:r>
          </w:p>
        </w:tc>
      </w:tr>
      <w:tr w:rsidR="00520DD3" w14:paraId="5107601A" w14:textId="40DC1CE2" w:rsidTr="00FD7EB0">
        <w:tc>
          <w:tcPr>
            <w:tcW w:w="1176" w:type="dxa"/>
            <w:shd w:val="clear" w:color="auto" w:fill="FFFFFF" w:themeFill="background1"/>
          </w:tcPr>
          <w:p w14:paraId="6191CA71" w14:textId="6A8AD394" w:rsidR="00520DD3" w:rsidRDefault="00520DD3" w:rsidP="004F517D">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2022</w:t>
            </w:r>
          </w:p>
        </w:tc>
        <w:tc>
          <w:tcPr>
            <w:tcW w:w="4091" w:type="dxa"/>
            <w:shd w:val="clear" w:color="auto" w:fill="FFFFFF" w:themeFill="background1"/>
          </w:tcPr>
          <w:p w14:paraId="31102ABE" w14:textId="641E8993" w:rsidR="00520DD3" w:rsidRPr="004F517D" w:rsidRDefault="00520DD3" w:rsidP="004F517D">
            <w:pPr>
              <w:widowControl w:val="0"/>
              <w:spacing w:line="285" w:lineRule="auto"/>
              <w:rPr>
                <w:rFonts w:ascii="Verdana" w:eastAsia="Times New Roman" w:hAnsi="Verdana" w:cs="Calibri"/>
                <w:color w:val="000000"/>
                <w:kern w:val="28"/>
                <w:lang w:eastAsia="en-GB"/>
                <w14:cntxtAlts/>
              </w:rPr>
            </w:pPr>
            <w:r w:rsidRPr="004F517D">
              <w:rPr>
                <w:rFonts w:ascii="Verdana" w:hAnsi="Verdana"/>
              </w:rPr>
              <w:t>Full-pay relevant employees</w:t>
            </w:r>
          </w:p>
        </w:tc>
        <w:tc>
          <w:tcPr>
            <w:tcW w:w="978" w:type="dxa"/>
            <w:shd w:val="clear" w:color="auto" w:fill="FFFFFF" w:themeFill="background1"/>
          </w:tcPr>
          <w:p w14:paraId="54447EC2" w14:textId="5AC9BDE2" w:rsidR="00520DD3" w:rsidRDefault="00520DD3" w:rsidP="004F517D">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375</w:t>
            </w:r>
          </w:p>
        </w:tc>
        <w:tc>
          <w:tcPr>
            <w:tcW w:w="1135" w:type="dxa"/>
            <w:shd w:val="clear" w:color="auto" w:fill="FFFFFF" w:themeFill="background1"/>
          </w:tcPr>
          <w:p w14:paraId="62BFBA1B" w14:textId="32874CB2" w:rsidR="00520DD3" w:rsidRDefault="00520DD3" w:rsidP="004F517D">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 xml:space="preserve">89 </w:t>
            </w:r>
          </w:p>
        </w:tc>
        <w:tc>
          <w:tcPr>
            <w:tcW w:w="861" w:type="dxa"/>
            <w:shd w:val="clear" w:color="auto" w:fill="FFFFFF" w:themeFill="background1"/>
          </w:tcPr>
          <w:p w14:paraId="705391A5" w14:textId="72E1FBD0" w:rsidR="00520DD3" w:rsidRDefault="00520DD3" w:rsidP="004F517D">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464</w:t>
            </w:r>
          </w:p>
        </w:tc>
      </w:tr>
      <w:tr w:rsidR="00520DD3" w14:paraId="2CE37EE6" w14:textId="3B86B50D" w:rsidTr="00FD7EB0">
        <w:tc>
          <w:tcPr>
            <w:tcW w:w="1176" w:type="dxa"/>
            <w:shd w:val="clear" w:color="auto" w:fill="FFFFFF" w:themeFill="background1"/>
          </w:tcPr>
          <w:p w14:paraId="6D675D22" w14:textId="77777777" w:rsidR="00520DD3" w:rsidRDefault="00520DD3" w:rsidP="004F517D">
            <w:pPr>
              <w:widowControl w:val="0"/>
              <w:spacing w:line="285" w:lineRule="auto"/>
              <w:rPr>
                <w:rFonts w:ascii="Verdana" w:eastAsia="Times New Roman" w:hAnsi="Verdana" w:cs="Calibri"/>
                <w:color w:val="000000"/>
                <w:kern w:val="28"/>
                <w:lang w:eastAsia="en-GB"/>
                <w14:cntxtAlts/>
              </w:rPr>
            </w:pPr>
          </w:p>
        </w:tc>
        <w:tc>
          <w:tcPr>
            <w:tcW w:w="4091" w:type="dxa"/>
            <w:shd w:val="clear" w:color="auto" w:fill="FFFFFF" w:themeFill="background1"/>
          </w:tcPr>
          <w:p w14:paraId="316CC7C8" w14:textId="0290B2D5" w:rsidR="00520DD3" w:rsidRPr="004F517D" w:rsidRDefault="00520DD3" w:rsidP="004F517D">
            <w:pPr>
              <w:widowControl w:val="0"/>
              <w:spacing w:line="285" w:lineRule="auto"/>
              <w:rPr>
                <w:rFonts w:ascii="Verdana" w:eastAsia="Times New Roman" w:hAnsi="Verdana" w:cs="Calibri"/>
                <w:color w:val="000000"/>
                <w:kern w:val="28"/>
                <w:lang w:eastAsia="en-GB"/>
                <w14:cntxtAlts/>
              </w:rPr>
            </w:pPr>
            <w:r w:rsidRPr="004F517D">
              <w:rPr>
                <w:rFonts w:ascii="Verdana" w:hAnsi="Verdana"/>
              </w:rPr>
              <w:t>Relevant employees</w:t>
            </w:r>
          </w:p>
        </w:tc>
        <w:tc>
          <w:tcPr>
            <w:tcW w:w="978" w:type="dxa"/>
            <w:shd w:val="clear" w:color="auto" w:fill="FFFFFF" w:themeFill="background1"/>
          </w:tcPr>
          <w:p w14:paraId="353902D2" w14:textId="7E73E756" w:rsidR="00520DD3" w:rsidRDefault="00520DD3" w:rsidP="004F517D">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403</w:t>
            </w:r>
          </w:p>
        </w:tc>
        <w:tc>
          <w:tcPr>
            <w:tcW w:w="1135" w:type="dxa"/>
            <w:shd w:val="clear" w:color="auto" w:fill="FFFFFF" w:themeFill="background1"/>
          </w:tcPr>
          <w:p w14:paraId="672E10D9" w14:textId="58409858" w:rsidR="00520DD3" w:rsidRDefault="00520DD3" w:rsidP="004F517D">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95</w:t>
            </w:r>
          </w:p>
        </w:tc>
        <w:tc>
          <w:tcPr>
            <w:tcW w:w="861" w:type="dxa"/>
            <w:shd w:val="clear" w:color="auto" w:fill="FFFFFF" w:themeFill="background1"/>
          </w:tcPr>
          <w:p w14:paraId="6D493783" w14:textId="5BDA912C" w:rsidR="00520DD3" w:rsidRDefault="00520DD3" w:rsidP="004F517D">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498</w:t>
            </w:r>
          </w:p>
        </w:tc>
      </w:tr>
      <w:tr w:rsidR="00520DD3" w14:paraId="76B85311" w14:textId="5ABA1B4E" w:rsidTr="00FD7EB0">
        <w:tc>
          <w:tcPr>
            <w:tcW w:w="1176" w:type="dxa"/>
            <w:shd w:val="clear" w:color="auto" w:fill="F2DBDB" w:themeFill="accent2" w:themeFillTint="33"/>
          </w:tcPr>
          <w:p w14:paraId="7F9C3C69" w14:textId="67CB8A1C" w:rsidR="00520DD3" w:rsidRDefault="00520DD3" w:rsidP="00F15AFF">
            <w:pPr>
              <w:widowControl w:val="0"/>
              <w:spacing w:line="285" w:lineRule="auto"/>
              <w:rPr>
                <w:rFonts w:ascii="Verdana" w:eastAsia="Times New Roman" w:hAnsi="Verdana" w:cs="Calibri"/>
                <w:color w:val="000000"/>
                <w:kern w:val="28"/>
                <w:lang w:eastAsia="en-GB"/>
                <w14:cntxtAlts/>
              </w:rPr>
            </w:pPr>
            <w:bookmarkStart w:id="0" w:name="_Hlk112308981"/>
            <w:r>
              <w:rPr>
                <w:rFonts w:ascii="Verdana" w:eastAsia="Times New Roman" w:hAnsi="Verdana" w:cs="Calibri"/>
                <w:color w:val="000000"/>
                <w:kern w:val="28"/>
                <w:lang w:eastAsia="en-GB"/>
                <w14:cntxtAlts/>
              </w:rPr>
              <w:t>2021</w:t>
            </w:r>
          </w:p>
        </w:tc>
        <w:tc>
          <w:tcPr>
            <w:tcW w:w="4091" w:type="dxa"/>
            <w:shd w:val="clear" w:color="auto" w:fill="F2DBDB" w:themeFill="accent2" w:themeFillTint="33"/>
          </w:tcPr>
          <w:p w14:paraId="27C67996" w14:textId="4E0948B9" w:rsidR="00520DD3" w:rsidRDefault="00520DD3" w:rsidP="00F15AFF">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Full-pay relevant employees</w:t>
            </w:r>
          </w:p>
        </w:tc>
        <w:tc>
          <w:tcPr>
            <w:tcW w:w="978" w:type="dxa"/>
            <w:shd w:val="clear" w:color="auto" w:fill="F2DBDB" w:themeFill="accent2" w:themeFillTint="33"/>
          </w:tcPr>
          <w:p w14:paraId="043349A3" w14:textId="3679739B" w:rsidR="00520DD3" w:rsidRDefault="00520DD3" w:rsidP="00F15AFF">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371</w:t>
            </w:r>
          </w:p>
        </w:tc>
        <w:tc>
          <w:tcPr>
            <w:tcW w:w="1135" w:type="dxa"/>
            <w:shd w:val="clear" w:color="auto" w:fill="F2DBDB" w:themeFill="accent2" w:themeFillTint="33"/>
          </w:tcPr>
          <w:p w14:paraId="3E9C9309" w14:textId="0BECCF10" w:rsidR="00520DD3" w:rsidRDefault="00520DD3" w:rsidP="00F15AFF">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92</w:t>
            </w:r>
          </w:p>
        </w:tc>
        <w:tc>
          <w:tcPr>
            <w:tcW w:w="861" w:type="dxa"/>
            <w:shd w:val="clear" w:color="auto" w:fill="F2DBDB" w:themeFill="accent2" w:themeFillTint="33"/>
          </w:tcPr>
          <w:p w14:paraId="17C1892D" w14:textId="72F40010" w:rsidR="00520DD3" w:rsidRDefault="00520DD3" w:rsidP="00F15AFF">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463</w:t>
            </w:r>
          </w:p>
        </w:tc>
      </w:tr>
      <w:tr w:rsidR="00520DD3" w14:paraId="75932064" w14:textId="617BE301" w:rsidTr="00FD7EB0">
        <w:tc>
          <w:tcPr>
            <w:tcW w:w="1176" w:type="dxa"/>
            <w:shd w:val="clear" w:color="auto" w:fill="F2DBDB" w:themeFill="accent2" w:themeFillTint="33"/>
          </w:tcPr>
          <w:p w14:paraId="16A9F7DD" w14:textId="77777777" w:rsidR="00520DD3" w:rsidRDefault="00520DD3" w:rsidP="00F15AFF">
            <w:pPr>
              <w:widowControl w:val="0"/>
              <w:spacing w:line="285" w:lineRule="auto"/>
              <w:rPr>
                <w:rFonts w:ascii="Verdana" w:eastAsia="Times New Roman" w:hAnsi="Verdana" w:cs="Calibri"/>
                <w:color w:val="000000"/>
                <w:kern w:val="28"/>
                <w:lang w:eastAsia="en-GB"/>
                <w14:cntxtAlts/>
              </w:rPr>
            </w:pPr>
          </w:p>
        </w:tc>
        <w:tc>
          <w:tcPr>
            <w:tcW w:w="4091" w:type="dxa"/>
            <w:shd w:val="clear" w:color="auto" w:fill="F2DBDB" w:themeFill="accent2" w:themeFillTint="33"/>
          </w:tcPr>
          <w:p w14:paraId="119685F2" w14:textId="5537AF0E" w:rsidR="00520DD3" w:rsidRDefault="00520DD3" w:rsidP="00F15AFF">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Relevant employees</w:t>
            </w:r>
          </w:p>
        </w:tc>
        <w:tc>
          <w:tcPr>
            <w:tcW w:w="978" w:type="dxa"/>
            <w:shd w:val="clear" w:color="auto" w:fill="F2DBDB" w:themeFill="accent2" w:themeFillTint="33"/>
          </w:tcPr>
          <w:p w14:paraId="569D5247" w14:textId="116A9C2B" w:rsidR="00520DD3" w:rsidRDefault="00520DD3" w:rsidP="00F15AFF">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404</w:t>
            </w:r>
          </w:p>
        </w:tc>
        <w:tc>
          <w:tcPr>
            <w:tcW w:w="1135" w:type="dxa"/>
            <w:shd w:val="clear" w:color="auto" w:fill="F2DBDB" w:themeFill="accent2" w:themeFillTint="33"/>
          </w:tcPr>
          <w:p w14:paraId="6C6A64ED" w14:textId="6E50FD99" w:rsidR="00520DD3" w:rsidRDefault="00520DD3" w:rsidP="00F15AFF">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100</w:t>
            </w:r>
          </w:p>
        </w:tc>
        <w:tc>
          <w:tcPr>
            <w:tcW w:w="861" w:type="dxa"/>
            <w:shd w:val="clear" w:color="auto" w:fill="F2DBDB" w:themeFill="accent2" w:themeFillTint="33"/>
          </w:tcPr>
          <w:p w14:paraId="48AED0F5" w14:textId="4AA37BDA" w:rsidR="00520DD3" w:rsidRDefault="00520DD3" w:rsidP="00F15AFF">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504</w:t>
            </w:r>
          </w:p>
        </w:tc>
      </w:tr>
      <w:bookmarkEnd w:id="0"/>
      <w:tr w:rsidR="00520DD3" w14:paraId="0A7B668E" w14:textId="3EE586CF" w:rsidTr="00FD7EB0">
        <w:tc>
          <w:tcPr>
            <w:tcW w:w="1176" w:type="dxa"/>
            <w:shd w:val="clear" w:color="auto" w:fill="EAF1DD" w:themeFill="accent3" w:themeFillTint="33"/>
          </w:tcPr>
          <w:p w14:paraId="15375ED4" w14:textId="2B82550A" w:rsidR="00520DD3" w:rsidRDefault="00520DD3" w:rsidP="00A2406C">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2020</w:t>
            </w:r>
          </w:p>
        </w:tc>
        <w:tc>
          <w:tcPr>
            <w:tcW w:w="4091" w:type="dxa"/>
            <w:shd w:val="clear" w:color="auto" w:fill="EAF1DD" w:themeFill="accent3" w:themeFillTint="33"/>
          </w:tcPr>
          <w:p w14:paraId="083DB161" w14:textId="151EC8ED" w:rsidR="00520DD3" w:rsidRDefault="00520DD3" w:rsidP="00A2406C">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Full-pay relevant employees</w:t>
            </w:r>
          </w:p>
        </w:tc>
        <w:tc>
          <w:tcPr>
            <w:tcW w:w="978" w:type="dxa"/>
            <w:shd w:val="clear" w:color="auto" w:fill="EAF1DD" w:themeFill="accent3" w:themeFillTint="33"/>
          </w:tcPr>
          <w:p w14:paraId="41CA78DB" w14:textId="266983C9" w:rsidR="00520DD3" w:rsidRDefault="00520DD3" w:rsidP="00A2406C">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340</w:t>
            </w:r>
          </w:p>
        </w:tc>
        <w:tc>
          <w:tcPr>
            <w:tcW w:w="1135" w:type="dxa"/>
            <w:shd w:val="clear" w:color="auto" w:fill="EAF1DD" w:themeFill="accent3" w:themeFillTint="33"/>
          </w:tcPr>
          <w:p w14:paraId="0F8B4041" w14:textId="2500A9EB" w:rsidR="00520DD3" w:rsidRDefault="00520DD3" w:rsidP="00A2406C">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82</w:t>
            </w:r>
          </w:p>
        </w:tc>
        <w:tc>
          <w:tcPr>
            <w:tcW w:w="861" w:type="dxa"/>
            <w:shd w:val="clear" w:color="auto" w:fill="EAF1DD" w:themeFill="accent3" w:themeFillTint="33"/>
          </w:tcPr>
          <w:p w14:paraId="6C2CB728" w14:textId="2D359E4D" w:rsidR="00520DD3" w:rsidRDefault="00520DD3" w:rsidP="00A2406C">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422</w:t>
            </w:r>
          </w:p>
        </w:tc>
      </w:tr>
      <w:tr w:rsidR="00520DD3" w14:paraId="1FA8BC20" w14:textId="4A4E4C0F" w:rsidTr="00FD7EB0">
        <w:tc>
          <w:tcPr>
            <w:tcW w:w="1176" w:type="dxa"/>
            <w:shd w:val="clear" w:color="auto" w:fill="EAF1DD" w:themeFill="accent3" w:themeFillTint="33"/>
          </w:tcPr>
          <w:p w14:paraId="409A86C0" w14:textId="77777777" w:rsidR="00520DD3" w:rsidRDefault="00520DD3" w:rsidP="00A2406C">
            <w:pPr>
              <w:widowControl w:val="0"/>
              <w:spacing w:line="285" w:lineRule="auto"/>
              <w:rPr>
                <w:rFonts w:ascii="Verdana" w:eastAsia="Times New Roman" w:hAnsi="Verdana" w:cs="Calibri"/>
                <w:color w:val="000000"/>
                <w:kern w:val="28"/>
                <w:lang w:eastAsia="en-GB"/>
                <w14:cntxtAlts/>
              </w:rPr>
            </w:pPr>
          </w:p>
        </w:tc>
        <w:tc>
          <w:tcPr>
            <w:tcW w:w="4091" w:type="dxa"/>
            <w:shd w:val="clear" w:color="auto" w:fill="EAF1DD" w:themeFill="accent3" w:themeFillTint="33"/>
          </w:tcPr>
          <w:p w14:paraId="033055AF" w14:textId="590EDBD3" w:rsidR="00520DD3" w:rsidRDefault="00520DD3" w:rsidP="00A2406C">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Relevant employees</w:t>
            </w:r>
          </w:p>
        </w:tc>
        <w:tc>
          <w:tcPr>
            <w:tcW w:w="978" w:type="dxa"/>
            <w:shd w:val="clear" w:color="auto" w:fill="EAF1DD" w:themeFill="accent3" w:themeFillTint="33"/>
          </w:tcPr>
          <w:p w14:paraId="7053DD8F" w14:textId="07D74B87" w:rsidR="00520DD3" w:rsidRDefault="00520DD3" w:rsidP="00A2406C">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384</w:t>
            </w:r>
          </w:p>
        </w:tc>
        <w:tc>
          <w:tcPr>
            <w:tcW w:w="1135" w:type="dxa"/>
            <w:shd w:val="clear" w:color="auto" w:fill="EAF1DD" w:themeFill="accent3" w:themeFillTint="33"/>
          </w:tcPr>
          <w:p w14:paraId="5C679FA0" w14:textId="680DC1E9" w:rsidR="00520DD3" w:rsidRDefault="00520DD3" w:rsidP="00A2406C">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93</w:t>
            </w:r>
          </w:p>
        </w:tc>
        <w:tc>
          <w:tcPr>
            <w:tcW w:w="861" w:type="dxa"/>
            <w:shd w:val="clear" w:color="auto" w:fill="EAF1DD" w:themeFill="accent3" w:themeFillTint="33"/>
          </w:tcPr>
          <w:p w14:paraId="0E63A474" w14:textId="1F58EEE5" w:rsidR="00520DD3" w:rsidRDefault="00520DD3" w:rsidP="00A2406C">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477</w:t>
            </w:r>
          </w:p>
        </w:tc>
      </w:tr>
      <w:tr w:rsidR="00520DD3" w14:paraId="61F26EA0" w14:textId="070507E1" w:rsidTr="00FD7EB0">
        <w:tc>
          <w:tcPr>
            <w:tcW w:w="1176" w:type="dxa"/>
            <w:shd w:val="clear" w:color="auto" w:fill="DBE5F1" w:themeFill="accent1" w:themeFillTint="33"/>
          </w:tcPr>
          <w:p w14:paraId="44D17336" w14:textId="50B17CFA" w:rsidR="00520DD3" w:rsidRDefault="00520DD3" w:rsidP="0080519D">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2019</w:t>
            </w:r>
          </w:p>
        </w:tc>
        <w:tc>
          <w:tcPr>
            <w:tcW w:w="4091" w:type="dxa"/>
            <w:shd w:val="clear" w:color="auto" w:fill="DBE5F1" w:themeFill="accent1" w:themeFillTint="33"/>
          </w:tcPr>
          <w:p w14:paraId="323DB037" w14:textId="77777777" w:rsidR="00520DD3" w:rsidRDefault="00520DD3" w:rsidP="0080519D">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Full-pay relevant employees</w:t>
            </w:r>
          </w:p>
        </w:tc>
        <w:tc>
          <w:tcPr>
            <w:tcW w:w="978" w:type="dxa"/>
            <w:shd w:val="clear" w:color="auto" w:fill="DBE5F1" w:themeFill="accent1" w:themeFillTint="33"/>
          </w:tcPr>
          <w:p w14:paraId="039E0068" w14:textId="77777777" w:rsidR="00520DD3" w:rsidRDefault="00520DD3" w:rsidP="0080519D">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353</w:t>
            </w:r>
          </w:p>
        </w:tc>
        <w:tc>
          <w:tcPr>
            <w:tcW w:w="1135" w:type="dxa"/>
            <w:shd w:val="clear" w:color="auto" w:fill="DBE5F1" w:themeFill="accent1" w:themeFillTint="33"/>
          </w:tcPr>
          <w:p w14:paraId="5F8241C3" w14:textId="77777777" w:rsidR="00520DD3" w:rsidRDefault="00520DD3" w:rsidP="0080519D">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87</w:t>
            </w:r>
          </w:p>
        </w:tc>
        <w:tc>
          <w:tcPr>
            <w:tcW w:w="861" w:type="dxa"/>
            <w:shd w:val="clear" w:color="auto" w:fill="DBE5F1" w:themeFill="accent1" w:themeFillTint="33"/>
          </w:tcPr>
          <w:p w14:paraId="2321C795" w14:textId="77777777" w:rsidR="00520DD3" w:rsidRDefault="00520DD3" w:rsidP="0080519D">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440</w:t>
            </w:r>
          </w:p>
        </w:tc>
      </w:tr>
      <w:tr w:rsidR="00520DD3" w14:paraId="5E72C326" w14:textId="4E98A8AE" w:rsidTr="00FD7EB0">
        <w:tc>
          <w:tcPr>
            <w:tcW w:w="1176" w:type="dxa"/>
            <w:shd w:val="clear" w:color="auto" w:fill="DBE5F1" w:themeFill="accent1" w:themeFillTint="33"/>
          </w:tcPr>
          <w:p w14:paraId="2C8AE59D" w14:textId="77777777" w:rsidR="00520DD3" w:rsidRDefault="00520DD3" w:rsidP="0080519D">
            <w:pPr>
              <w:widowControl w:val="0"/>
              <w:spacing w:line="285" w:lineRule="auto"/>
              <w:rPr>
                <w:rFonts w:ascii="Verdana" w:eastAsia="Times New Roman" w:hAnsi="Verdana" w:cs="Calibri"/>
                <w:color w:val="000000"/>
                <w:kern w:val="28"/>
                <w:lang w:eastAsia="en-GB"/>
                <w14:cntxtAlts/>
              </w:rPr>
            </w:pPr>
          </w:p>
        </w:tc>
        <w:tc>
          <w:tcPr>
            <w:tcW w:w="4091" w:type="dxa"/>
            <w:shd w:val="clear" w:color="auto" w:fill="DBE5F1" w:themeFill="accent1" w:themeFillTint="33"/>
          </w:tcPr>
          <w:p w14:paraId="67978AAE" w14:textId="77777777" w:rsidR="00520DD3" w:rsidRDefault="00520DD3" w:rsidP="0080519D">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Relevant employees</w:t>
            </w:r>
          </w:p>
        </w:tc>
        <w:tc>
          <w:tcPr>
            <w:tcW w:w="978" w:type="dxa"/>
            <w:shd w:val="clear" w:color="auto" w:fill="DBE5F1" w:themeFill="accent1" w:themeFillTint="33"/>
          </w:tcPr>
          <w:p w14:paraId="3BB01C76" w14:textId="77777777" w:rsidR="00520DD3" w:rsidRDefault="00520DD3" w:rsidP="0080519D">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365</w:t>
            </w:r>
          </w:p>
        </w:tc>
        <w:tc>
          <w:tcPr>
            <w:tcW w:w="1135" w:type="dxa"/>
            <w:shd w:val="clear" w:color="auto" w:fill="DBE5F1" w:themeFill="accent1" w:themeFillTint="33"/>
          </w:tcPr>
          <w:p w14:paraId="6E40C03E" w14:textId="77777777" w:rsidR="00520DD3" w:rsidRDefault="00520DD3" w:rsidP="0080519D">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90</w:t>
            </w:r>
          </w:p>
        </w:tc>
        <w:tc>
          <w:tcPr>
            <w:tcW w:w="861" w:type="dxa"/>
            <w:shd w:val="clear" w:color="auto" w:fill="DBE5F1" w:themeFill="accent1" w:themeFillTint="33"/>
          </w:tcPr>
          <w:p w14:paraId="451C0182" w14:textId="77777777" w:rsidR="00520DD3" w:rsidRDefault="00520DD3" w:rsidP="0080519D">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455</w:t>
            </w:r>
          </w:p>
        </w:tc>
      </w:tr>
      <w:tr w:rsidR="00520DD3" w14:paraId="4650AF53" w14:textId="03CB884D" w:rsidTr="00FD7EB0">
        <w:tc>
          <w:tcPr>
            <w:tcW w:w="1176" w:type="dxa"/>
            <w:shd w:val="clear" w:color="auto" w:fill="EEECE1" w:themeFill="background2"/>
          </w:tcPr>
          <w:p w14:paraId="73B56A5C" w14:textId="1BB8C812" w:rsidR="00520DD3" w:rsidRDefault="00520DD3" w:rsidP="00AC7E7C">
            <w:pPr>
              <w:widowControl w:val="0"/>
              <w:spacing w:line="285" w:lineRule="auto"/>
              <w:rPr>
                <w:rFonts w:ascii="Verdana" w:eastAsia="Times New Roman" w:hAnsi="Verdana" w:cs="Calibri"/>
                <w:color w:val="000000"/>
                <w:kern w:val="28"/>
                <w:lang w:eastAsia="en-GB"/>
                <w14:cntxtAlts/>
              </w:rPr>
            </w:pPr>
            <w:bookmarkStart w:id="1" w:name="_Hlk23773626"/>
            <w:r>
              <w:rPr>
                <w:rFonts w:ascii="Verdana" w:eastAsia="Times New Roman" w:hAnsi="Verdana" w:cs="Calibri"/>
                <w:color w:val="000000"/>
                <w:kern w:val="28"/>
                <w:lang w:eastAsia="en-GB"/>
                <w14:cntxtAlts/>
              </w:rPr>
              <w:t>2018</w:t>
            </w:r>
          </w:p>
        </w:tc>
        <w:tc>
          <w:tcPr>
            <w:tcW w:w="4091" w:type="dxa"/>
            <w:shd w:val="clear" w:color="auto" w:fill="EEECE1" w:themeFill="background2"/>
          </w:tcPr>
          <w:p w14:paraId="11BE384C" w14:textId="77777777" w:rsidR="00520DD3" w:rsidRDefault="00520DD3" w:rsidP="00586340">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Full-pay relevant employees</w:t>
            </w:r>
          </w:p>
        </w:tc>
        <w:tc>
          <w:tcPr>
            <w:tcW w:w="978" w:type="dxa"/>
            <w:shd w:val="clear" w:color="auto" w:fill="EEECE1" w:themeFill="background2"/>
          </w:tcPr>
          <w:p w14:paraId="49826C3D" w14:textId="77777777" w:rsidR="00520DD3" w:rsidRDefault="00520DD3" w:rsidP="00AC7E7C">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377</w:t>
            </w:r>
          </w:p>
        </w:tc>
        <w:tc>
          <w:tcPr>
            <w:tcW w:w="1135" w:type="dxa"/>
            <w:shd w:val="clear" w:color="auto" w:fill="EEECE1" w:themeFill="background2"/>
          </w:tcPr>
          <w:p w14:paraId="2B7F3594" w14:textId="77777777" w:rsidR="00520DD3" w:rsidRDefault="00520DD3" w:rsidP="00AC7E7C">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78</w:t>
            </w:r>
          </w:p>
        </w:tc>
        <w:tc>
          <w:tcPr>
            <w:tcW w:w="861" w:type="dxa"/>
            <w:shd w:val="clear" w:color="auto" w:fill="EEECE1" w:themeFill="background2"/>
          </w:tcPr>
          <w:p w14:paraId="4A374B4D" w14:textId="77777777" w:rsidR="00520DD3" w:rsidRDefault="00520DD3" w:rsidP="00C06663">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455</w:t>
            </w:r>
          </w:p>
        </w:tc>
      </w:tr>
      <w:tr w:rsidR="00520DD3" w14:paraId="2E95485B" w14:textId="4124AA7A" w:rsidTr="00FD7EB0">
        <w:tc>
          <w:tcPr>
            <w:tcW w:w="1176" w:type="dxa"/>
            <w:shd w:val="clear" w:color="auto" w:fill="EEECE1" w:themeFill="background2"/>
          </w:tcPr>
          <w:p w14:paraId="2062E1A4" w14:textId="77777777" w:rsidR="00520DD3" w:rsidRDefault="00520DD3" w:rsidP="00AC7E7C">
            <w:pPr>
              <w:widowControl w:val="0"/>
              <w:spacing w:line="285" w:lineRule="auto"/>
              <w:rPr>
                <w:rFonts w:ascii="Verdana" w:eastAsia="Times New Roman" w:hAnsi="Verdana" w:cs="Calibri"/>
                <w:color w:val="000000"/>
                <w:kern w:val="28"/>
                <w:lang w:eastAsia="en-GB"/>
                <w14:cntxtAlts/>
              </w:rPr>
            </w:pPr>
          </w:p>
        </w:tc>
        <w:tc>
          <w:tcPr>
            <w:tcW w:w="4091" w:type="dxa"/>
            <w:shd w:val="clear" w:color="auto" w:fill="EEECE1" w:themeFill="background2"/>
          </w:tcPr>
          <w:p w14:paraId="0C7705EE" w14:textId="77777777" w:rsidR="00520DD3" w:rsidRDefault="00520DD3" w:rsidP="00AC7E7C">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Relevant employees</w:t>
            </w:r>
          </w:p>
        </w:tc>
        <w:tc>
          <w:tcPr>
            <w:tcW w:w="978" w:type="dxa"/>
            <w:shd w:val="clear" w:color="auto" w:fill="EEECE1" w:themeFill="background2"/>
          </w:tcPr>
          <w:p w14:paraId="4D2B3B86" w14:textId="77777777" w:rsidR="00520DD3" w:rsidRDefault="00520DD3" w:rsidP="00AC7E7C">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392</w:t>
            </w:r>
          </w:p>
        </w:tc>
        <w:tc>
          <w:tcPr>
            <w:tcW w:w="1135" w:type="dxa"/>
            <w:shd w:val="clear" w:color="auto" w:fill="EEECE1" w:themeFill="background2"/>
          </w:tcPr>
          <w:p w14:paraId="0E976923" w14:textId="77777777" w:rsidR="00520DD3" w:rsidRDefault="00520DD3" w:rsidP="00AC7E7C">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81</w:t>
            </w:r>
          </w:p>
        </w:tc>
        <w:tc>
          <w:tcPr>
            <w:tcW w:w="861" w:type="dxa"/>
            <w:shd w:val="clear" w:color="auto" w:fill="EEECE1" w:themeFill="background2"/>
          </w:tcPr>
          <w:p w14:paraId="61A914F1" w14:textId="77777777" w:rsidR="00520DD3" w:rsidRDefault="00520DD3" w:rsidP="00AC7E7C">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473</w:t>
            </w:r>
          </w:p>
        </w:tc>
      </w:tr>
      <w:bookmarkEnd w:id="1"/>
      <w:tr w:rsidR="00520DD3" w14:paraId="30A0EFBC" w14:textId="219A2BFE" w:rsidTr="00FD7EB0">
        <w:tc>
          <w:tcPr>
            <w:tcW w:w="1176" w:type="dxa"/>
            <w:shd w:val="clear" w:color="auto" w:fill="F2F2F2" w:themeFill="background1" w:themeFillShade="F2"/>
          </w:tcPr>
          <w:p w14:paraId="300586A1" w14:textId="6278F07A" w:rsidR="00520DD3" w:rsidRDefault="00520DD3" w:rsidP="004360D8">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2017</w:t>
            </w:r>
          </w:p>
        </w:tc>
        <w:tc>
          <w:tcPr>
            <w:tcW w:w="4091" w:type="dxa"/>
            <w:shd w:val="clear" w:color="auto" w:fill="F2F2F2" w:themeFill="background1" w:themeFillShade="F2"/>
          </w:tcPr>
          <w:p w14:paraId="5F0A9179" w14:textId="77777777" w:rsidR="00520DD3" w:rsidRDefault="00520DD3" w:rsidP="00586340">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Full-pay relevant employees</w:t>
            </w:r>
          </w:p>
        </w:tc>
        <w:tc>
          <w:tcPr>
            <w:tcW w:w="978" w:type="dxa"/>
            <w:shd w:val="clear" w:color="auto" w:fill="F2F2F2" w:themeFill="background1" w:themeFillShade="F2"/>
          </w:tcPr>
          <w:p w14:paraId="337BB7A2" w14:textId="77777777" w:rsidR="00520DD3" w:rsidRDefault="00520DD3" w:rsidP="004360D8">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392</w:t>
            </w:r>
          </w:p>
        </w:tc>
        <w:tc>
          <w:tcPr>
            <w:tcW w:w="1135" w:type="dxa"/>
            <w:shd w:val="clear" w:color="auto" w:fill="F2F2F2" w:themeFill="background1" w:themeFillShade="F2"/>
          </w:tcPr>
          <w:p w14:paraId="2C40922D" w14:textId="77777777" w:rsidR="00520DD3" w:rsidRDefault="00520DD3" w:rsidP="004360D8">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80</w:t>
            </w:r>
          </w:p>
        </w:tc>
        <w:tc>
          <w:tcPr>
            <w:tcW w:w="861" w:type="dxa"/>
            <w:shd w:val="clear" w:color="auto" w:fill="F2F2F2" w:themeFill="background1" w:themeFillShade="F2"/>
          </w:tcPr>
          <w:p w14:paraId="44349766" w14:textId="77777777" w:rsidR="00520DD3" w:rsidRDefault="00520DD3" w:rsidP="004360D8">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472</w:t>
            </w:r>
          </w:p>
        </w:tc>
      </w:tr>
      <w:tr w:rsidR="00520DD3" w14:paraId="3F7D066B" w14:textId="4F51462B" w:rsidTr="00FD7EB0">
        <w:tc>
          <w:tcPr>
            <w:tcW w:w="1176" w:type="dxa"/>
            <w:shd w:val="clear" w:color="auto" w:fill="F2F2F2" w:themeFill="background1" w:themeFillShade="F2"/>
          </w:tcPr>
          <w:p w14:paraId="2919C44F" w14:textId="77777777" w:rsidR="00520DD3" w:rsidRDefault="00520DD3" w:rsidP="004360D8">
            <w:pPr>
              <w:widowControl w:val="0"/>
              <w:spacing w:line="285" w:lineRule="auto"/>
              <w:rPr>
                <w:rFonts w:ascii="Verdana" w:eastAsia="Times New Roman" w:hAnsi="Verdana" w:cs="Calibri"/>
                <w:color w:val="000000"/>
                <w:kern w:val="28"/>
                <w:lang w:eastAsia="en-GB"/>
                <w14:cntxtAlts/>
              </w:rPr>
            </w:pPr>
          </w:p>
        </w:tc>
        <w:tc>
          <w:tcPr>
            <w:tcW w:w="4091" w:type="dxa"/>
            <w:shd w:val="clear" w:color="auto" w:fill="F2F2F2" w:themeFill="background1" w:themeFillShade="F2"/>
          </w:tcPr>
          <w:p w14:paraId="5C8CC956" w14:textId="77777777" w:rsidR="00520DD3" w:rsidRDefault="00520DD3" w:rsidP="004360D8">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Relevant employees</w:t>
            </w:r>
          </w:p>
        </w:tc>
        <w:tc>
          <w:tcPr>
            <w:tcW w:w="978" w:type="dxa"/>
            <w:shd w:val="clear" w:color="auto" w:fill="F2F2F2" w:themeFill="background1" w:themeFillShade="F2"/>
          </w:tcPr>
          <w:p w14:paraId="2014E2C1" w14:textId="77777777" w:rsidR="00520DD3" w:rsidRDefault="00520DD3" w:rsidP="004360D8">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407</w:t>
            </w:r>
          </w:p>
        </w:tc>
        <w:tc>
          <w:tcPr>
            <w:tcW w:w="1135" w:type="dxa"/>
            <w:shd w:val="clear" w:color="auto" w:fill="F2F2F2" w:themeFill="background1" w:themeFillShade="F2"/>
          </w:tcPr>
          <w:p w14:paraId="5C4BB8EA" w14:textId="77777777" w:rsidR="00520DD3" w:rsidRDefault="00520DD3" w:rsidP="004360D8">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81</w:t>
            </w:r>
          </w:p>
        </w:tc>
        <w:tc>
          <w:tcPr>
            <w:tcW w:w="861" w:type="dxa"/>
            <w:shd w:val="clear" w:color="auto" w:fill="F2F2F2" w:themeFill="background1" w:themeFillShade="F2"/>
          </w:tcPr>
          <w:p w14:paraId="6001C8B1" w14:textId="77777777" w:rsidR="00520DD3" w:rsidRDefault="00520DD3" w:rsidP="004360D8">
            <w:pPr>
              <w:widowControl w:val="0"/>
              <w:spacing w:line="285" w:lineRule="auto"/>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488</w:t>
            </w:r>
          </w:p>
        </w:tc>
      </w:tr>
    </w:tbl>
    <w:p w14:paraId="5C8B01A7" w14:textId="133F2B71" w:rsidR="006250F1" w:rsidRDefault="002D6119" w:rsidP="00F97FE4">
      <w:pPr>
        <w:widowControl w:val="0"/>
        <w:spacing w:before="240" w:after="120" w:line="285" w:lineRule="auto"/>
        <w:rPr>
          <w:rFonts w:ascii="Verdana" w:eastAsia="Times New Roman" w:hAnsi="Verdana" w:cs="Calibri"/>
          <w:color w:val="000000"/>
          <w:kern w:val="28"/>
          <w:lang w:eastAsia="en-GB"/>
          <w14:cntxtAlts/>
        </w:rPr>
      </w:pPr>
      <w:r w:rsidRPr="002D6119">
        <w:rPr>
          <w:rFonts w:ascii="Verdana" w:eastAsia="Times New Roman" w:hAnsi="Verdana" w:cs="Calibri"/>
          <w:b/>
          <w:color w:val="000000"/>
          <w:kern w:val="28"/>
          <w:lang w:eastAsia="en-GB"/>
          <w14:cntxtAlts/>
        </w:rPr>
        <w:lastRenderedPageBreak/>
        <w:t>Full</w:t>
      </w:r>
      <w:r w:rsidR="00DC4224">
        <w:rPr>
          <w:rFonts w:ascii="Verdana" w:eastAsia="Times New Roman" w:hAnsi="Verdana" w:cs="Calibri"/>
          <w:b/>
          <w:color w:val="000000"/>
          <w:kern w:val="28"/>
          <w:lang w:eastAsia="en-GB"/>
          <w14:cntxtAlts/>
        </w:rPr>
        <w:t>-</w:t>
      </w:r>
      <w:r w:rsidRPr="002D6119">
        <w:rPr>
          <w:rFonts w:ascii="Verdana" w:eastAsia="Times New Roman" w:hAnsi="Verdana" w:cs="Calibri"/>
          <w:b/>
          <w:color w:val="000000"/>
          <w:kern w:val="28"/>
          <w:lang w:eastAsia="en-GB"/>
          <w14:cntxtAlts/>
        </w:rPr>
        <w:t>Pay Relevant Employees</w:t>
      </w:r>
      <w:r>
        <w:rPr>
          <w:rFonts w:ascii="Verdana" w:eastAsia="Times New Roman" w:hAnsi="Verdana" w:cs="Calibri"/>
          <w:color w:val="000000"/>
          <w:kern w:val="28"/>
          <w:lang w:eastAsia="en-GB"/>
          <w14:cntxtAlts/>
        </w:rPr>
        <w:t xml:space="preserve"> - T</w:t>
      </w:r>
      <w:r w:rsidRPr="002D6119">
        <w:rPr>
          <w:rFonts w:ascii="Verdana" w:eastAsia="Times New Roman" w:hAnsi="Verdana" w:cs="Calibri"/>
          <w:color w:val="000000"/>
          <w:kern w:val="28"/>
          <w:lang w:eastAsia="en-GB"/>
          <w14:cntxtAlts/>
        </w:rPr>
        <w:t>his is the number of employees who received their normal full</w:t>
      </w:r>
      <w:r w:rsidR="00DC4224">
        <w:rPr>
          <w:rFonts w:ascii="Verdana" w:eastAsia="Times New Roman" w:hAnsi="Verdana" w:cs="Calibri"/>
          <w:color w:val="000000"/>
          <w:kern w:val="28"/>
          <w:lang w:eastAsia="en-GB"/>
          <w14:cntxtAlts/>
        </w:rPr>
        <w:t>-</w:t>
      </w:r>
      <w:r w:rsidRPr="002D6119">
        <w:rPr>
          <w:rFonts w:ascii="Verdana" w:eastAsia="Times New Roman" w:hAnsi="Verdana" w:cs="Calibri"/>
          <w:color w:val="000000"/>
          <w:kern w:val="28"/>
          <w:lang w:eastAsia="en-GB"/>
          <w14:cntxtAlts/>
        </w:rPr>
        <w:t>pay within the snapshot date.</w:t>
      </w:r>
      <w:r>
        <w:rPr>
          <w:rFonts w:ascii="Verdana" w:eastAsia="Times New Roman" w:hAnsi="Verdana" w:cs="Calibri"/>
          <w:color w:val="000000"/>
          <w:kern w:val="28"/>
          <w:lang w:eastAsia="en-GB"/>
          <w14:cntxtAlts/>
        </w:rPr>
        <w:t xml:space="preserve"> </w:t>
      </w:r>
      <w:r w:rsidRPr="002D6119">
        <w:rPr>
          <w:rFonts w:ascii="Verdana" w:eastAsia="Times New Roman" w:hAnsi="Verdana" w:cs="Calibri"/>
          <w:color w:val="000000"/>
          <w:kern w:val="28"/>
          <w:lang w:eastAsia="en-GB"/>
          <w14:cntxtAlts/>
        </w:rPr>
        <w:t>This informs the mean and median hourly pay gap calculations and the proportion of employees within the Quartile Pay Bands.</w:t>
      </w:r>
      <w:r w:rsidR="006250F1">
        <w:rPr>
          <w:rFonts w:ascii="Verdana" w:eastAsia="Times New Roman" w:hAnsi="Verdana" w:cs="Calibri"/>
          <w:color w:val="000000"/>
          <w:kern w:val="28"/>
          <w:lang w:eastAsia="en-GB"/>
          <w14:cntxtAlts/>
        </w:rPr>
        <w:t xml:space="preserve"> </w:t>
      </w:r>
    </w:p>
    <w:p w14:paraId="5BCB4FA3" w14:textId="2EC7B061" w:rsidR="002D6119" w:rsidRPr="00072B2D" w:rsidRDefault="006250F1" w:rsidP="00002ABB">
      <w:pPr>
        <w:widowControl w:val="0"/>
        <w:spacing w:after="120" w:line="285" w:lineRule="auto"/>
        <w:rPr>
          <w:rFonts w:ascii="Verdana" w:eastAsia="Times New Roman" w:hAnsi="Verdana" w:cs="Calibri"/>
          <w:kern w:val="28"/>
          <w:lang w:eastAsia="en-GB"/>
          <w14:cntxtAlts/>
        </w:rPr>
      </w:pPr>
      <w:r w:rsidRPr="00072B2D">
        <w:rPr>
          <w:rFonts w:ascii="Verdana" w:eastAsia="Times New Roman" w:hAnsi="Verdana" w:cs="Calibri"/>
          <w:kern w:val="28"/>
          <w:lang w:eastAsia="en-GB"/>
          <w14:cntxtAlts/>
        </w:rPr>
        <w:t>For 20</w:t>
      </w:r>
      <w:r w:rsidR="00501137" w:rsidRPr="00072B2D">
        <w:rPr>
          <w:rFonts w:ascii="Verdana" w:eastAsia="Times New Roman" w:hAnsi="Verdana" w:cs="Calibri"/>
          <w:kern w:val="28"/>
          <w:lang w:eastAsia="en-GB"/>
          <w14:cntxtAlts/>
        </w:rPr>
        <w:t>2</w:t>
      </w:r>
      <w:r w:rsidR="00B57760">
        <w:rPr>
          <w:rFonts w:ascii="Verdana" w:eastAsia="Times New Roman" w:hAnsi="Verdana" w:cs="Calibri"/>
          <w:kern w:val="28"/>
          <w:lang w:eastAsia="en-GB"/>
          <w14:cntxtAlts/>
        </w:rPr>
        <w:t>2</w:t>
      </w:r>
      <w:r w:rsidRPr="00072B2D">
        <w:rPr>
          <w:rFonts w:ascii="Verdana" w:eastAsia="Times New Roman" w:hAnsi="Verdana" w:cs="Calibri"/>
          <w:kern w:val="28"/>
          <w:lang w:eastAsia="en-GB"/>
          <w14:cntxtAlts/>
        </w:rPr>
        <w:t xml:space="preserve">, </w:t>
      </w:r>
      <w:r w:rsidR="00E27F83" w:rsidRPr="00072B2D">
        <w:rPr>
          <w:rFonts w:ascii="Verdana" w:eastAsia="Times New Roman" w:hAnsi="Verdana" w:cs="Calibri"/>
          <w:kern w:val="28"/>
          <w:lang w:eastAsia="en-GB"/>
          <w14:cntxtAlts/>
        </w:rPr>
        <w:t xml:space="preserve">the number </w:t>
      </w:r>
      <w:r w:rsidR="00116C90" w:rsidRPr="00072B2D">
        <w:rPr>
          <w:rFonts w:ascii="Verdana" w:eastAsia="Times New Roman" w:hAnsi="Verdana" w:cs="Calibri"/>
          <w:kern w:val="28"/>
          <w:lang w:eastAsia="en-GB"/>
          <w14:cntxtAlts/>
        </w:rPr>
        <w:t>of full</w:t>
      </w:r>
      <w:r w:rsidR="006D0BED" w:rsidRPr="00072B2D">
        <w:rPr>
          <w:rFonts w:ascii="Verdana" w:eastAsia="Times New Roman" w:hAnsi="Verdana" w:cs="Calibri"/>
          <w:kern w:val="28"/>
          <w:lang w:eastAsia="en-GB"/>
          <w14:cntxtAlts/>
        </w:rPr>
        <w:t>-</w:t>
      </w:r>
      <w:r w:rsidR="00116C90" w:rsidRPr="00072B2D">
        <w:rPr>
          <w:rFonts w:ascii="Verdana" w:eastAsia="Times New Roman" w:hAnsi="Verdana" w:cs="Calibri"/>
          <w:kern w:val="28"/>
          <w:lang w:eastAsia="en-GB"/>
          <w14:cntxtAlts/>
        </w:rPr>
        <w:t xml:space="preserve">pay </w:t>
      </w:r>
      <w:r w:rsidR="00115A7A">
        <w:rPr>
          <w:rFonts w:ascii="Verdana" w:eastAsia="Times New Roman" w:hAnsi="Verdana" w:cs="Calibri"/>
          <w:kern w:val="28"/>
          <w:lang w:eastAsia="en-GB"/>
          <w14:cntxtAlts/>
        </w:rPr>
        <w:t xml:space="preserve">relevant </w:t>
      </w:r>
      <w:r w:rsidR="00116C90" w:rsidRPr="00072B2D">
        <w:rPr>
          <w:rFonts w:ascii="Verdana" w:eastAsia="Times New Roman" w:hAnsi="Verdana" w:cs="Calibri"/>
          <w:kern w:val="28"/>
          <w:lang w:eastAsia="en-GB"/>
          <w14:cntxtAlts/>
        </w:rPr>
        <w:t xml:space="preserve">employees </w:t>
      </w:r>
      <w:r w:rsidR="00F97FE4" w:rsidRPr="00072B2D">
        <w:rPr>
          <w:rFonts w:ascii="Verdana" w:eastAsia="Times New Roman" w:hAnsi="Verdana" w:cs="Calibri"/>
          <w:kern w:val="28"/>
          <w:lang w:eastAsia="en-GB"/>
          <w14:cntxtAlts/>
        </w:rPr>
        <w:t xml:space="preserve">increased by </w:t>
      </w:r>
      <w:r w:rsidR="006208FF">
        <w:rPr>
          <w:rFonts w:ascii="Verdana" w:eastAsia="Times New Roman" w:hAnsi="Verdana" w:cs="Calibri"/>
          <w:kern w:val="28"/>
          <w:lang w:eastAsia="en-GB"/>
          <w14:cntxtAlts/>
        </w:rPr>
        <w:t xml:space="preserve">1.0 percentage points for </w:t>
      </w:r>
      <w:r w:rsidR="00F97FE4" w:rsidRPr="00072B2D">
        <w:rPr>
          <w:rFonts w:ascii="Verdana" w:eastAsia="Times New Roman" w:hAnsi="Verdana" w:cs="Calibri"/>
          <w:kern w:val="28"/>
          <w:lang w:eastAsia="en-GB"/>
          <w14:cntxtAlts/>
        </w:rPr>
        <w:t xml:space="preserve">males </w:t>
      </w:r>
      <w:r w:rsidR="00FD7EB0">
        <w:rPr>
          <w:rFonts w:ascii="Verdana" w:eastAsia="Times New Roman" w:hAnsi="Verdana" w:cs="Calibri"/>
          <w:kern w:val="28"/>
          <w:lang w:eastAsia="en-GB"/>
          <w14:cntxtAlts/>
        </w:rPr>
        <w:t>(</w:t>
      </w:r>
      <w:r w:rsidR="006208FF">
        <w:rPr>
          <w:rFonts w:ascii="Verdana" w:eastAsia="Times New Roman" w:hAnsi="Verdana" w:cs="Calibri"/>
          <w:kern w:val="28"/>
          <w:lang w:eastAsia="en-GB"/>
          <w14:cntxtAlts/>
        </w:rPr>
        <w:t>four males</w:t>
      </w:r>
      <w:r w:rsidR="0057625C">
        <w:rPr>
          <w:rFonts w:ascii="Verdana" w:eastAsia="Times New Roman" w:hAnsi="Verdana" w:cs="Calibri"/>
          <w:kern w:val="28"/>
          <w:lang w:eastAsia="en-GB"/>
          <w14:cntxtAlts/>
        </w:rPr>
        <w:t>)</w:t>
      </w:r>
      <w:r w:rsidR="00FD7EB0">
        <w:rPr>
          <w:rFonts w:ascii="Verdana" w:eastAsia="Times New Roman" w:hAnsi="Verdana" w:cs="Calibri"/>
          <w:kern w:val="28"/>
          <w:lang w:eastAsia="en-GB"/>
          <w14:cntxtAlts/>
        </w:rPr>
        <w:t xml:space="preserve"> </w:t>
      </w:r>
      <w:r w:rsidR="00F97FE4" w:rsidRPr="00072B2D">
        <w:rPr>
          <w:rFonts w:ascii="Verdana" w:eastAsia="Times New Roman" w:hAnsi="Verdana" w:cs="Calibri"/>
          <w:kern w:val="28"/>
          <w:lang w:eastAsia="en-GB"/>
          <w14:cntxtAlts/>
        </w:rPr>
        <w:t xml:space="preserve">and </w:t>
      </w:r>
      <w:r w:rsidR="00B57760">
        <w:rPr>
          <w:rFonts w:ascii="Verdana" w:eastAsia="Times New Roman" w:hAnsi="Verdana" w:cs="Calibri"/>
          <w:kern w:val="28"/>
          <w:lang w:eastAsia="en-GB"/>
          <w14:cntxtAlts/>
        </w:rPr>
        <w:t xml:space="preserve">decreased by </w:t>
      </w:r>
      <w:r w:rsidR="006208FF">
        <w:rPr>
          <w:rFonts w:ascii="Verdana" w:eastAsia="Times New Roman" w:hAnsi="Verdana" w:cs="Calibri"/>
          <w:kern w:val="28"/>
          <w:lang w:eastAsia="en-GB"/>
          <w14:cntxtAlts/>
        </w:rPr>
        <w:t xml:space="preserve">3.3 percentage points for </w:t>
      </w:r>
      <w:r w:rsidR="00F97FE4" w:rsidRPr="00072B2D">
        <w:rPr>
          <w:rFonts w:ascii="Verdana" w:eastAsia="Times New Roman" w:hAnsi="Verdana" w:cs="Calibri"/>
          <w:kern w:val="28"/>
          <w:lang w:eastAsia="en-GB"/>
          <w14:cntxtAlts/>
        </w:rPr>
        <w:t>females</w:t>
      </w:r>
      <w:r w:rsidR="00FD7EB0">
        <w:rPr>
          <w:rFonts w:ascii="Verdana" w:eastAsia="Times New Roman" w:hAnsi="Verdana" w:cs="Calibri"/>
          <w:kern w:val="28"/>
          <w:lang w:eastAsia="en-GB"/>
          <w14:cntxtAlts/>
        </w:rPr>
        <w:t xml:space="preserve"> </w:t>
      </w:r>
      <w:r w:rsidR="0057625C">
        <w:rPr>
          <w:rFonts w:ascii="Verdana" w:eastAsia="Times New Roman" w:hAnsi="Verdana" w:cs="Calibri"/>
          <w:kern w:val="28"/>
          <w:lang w:eastAsia="en-GB"/>
          <w14:cntxtAlts/>
        </w:rPr>
        <w:t>(</w:t>
      </w:r>
      <w:r w:rsidR="006208FF">
        <w:rPr>
          <w:rFonts w:ascii="Verdana" w:eastAsia="Times New Roman" w:hAnsi="Verdana" w:cs="Calibri"/>
          <w:kern w:val="28"/>
          <w:lang w:eastAsia="en-GB"/>
          <w14:cntxtAlts/>
        </w:rPr>
        <w:t>three females</w:t>
      </w:r>
      <w:r w:rsidR="00FD7EB0">
        <w:rPr>
          <w:rFonts w:ascii="Verdana" w:eastAsia="Times New Roman" w:hAnsi="Verdana" w:cs="Calibri"/>
          <w:kern w:val="28"/>
          <w:lang w:eastAsia="en-GB"/>
          <w14:cntxtAlts/>
        </w:rPr>
        <w:t>)</w:t>
      </w:r>
      <w:r w:rsidR="00E715E6">
        <w:rPr>
          <w:rFonts w:ascii="Verdana" w:eastAsia="Times New Roman" w:hAnsi="Verdana" w:cs="Calibri"/>
          <w:kern w:val="28"/>
          <w:lang w:eastAsia="en-GB"/>
          <w14:cntxtAlts/>
        </w:rPr>
        <w:t xml:space="preserve"> from the number of employees </w:t>
      </w:r>
      <w:r w:rsidR="00115A7A">
        <w:rPr>
          <w:rFonts w:ascii="Verdana" w:eastAsia="Times New Roman" w:hAnsi="Verdana" w:cs="Calibri"/>
          <w:kern w:val="28"/>
          <w:lang w:eastAsia="en-GB"/>
          <w14:cntxtAlts/>
        </w:rPr>
        <w:t xml:space="preserve">detailed for </w:t>
      </w:r>
      <w:r w:rsidR="00E715E6">
        <w:rPr>
          <w:rFonts w:ascii="Verdana" w:eastAsia="Times New Roman" w:hAnsi="Verdana" w:cs="Calibri"/>
          <w:kern w:val="28"/>
          <w:lang w:eastAsia="en-GB"/>
          <w14:cntxtAlts/>
        </w:rPr>
        <w:t xml:space="preserve">2021. </w:t>
      </w:r>
    </w:p>
    <w:p w14:paraId="21BB169B" w14:textId="41437BB0" w:rsidR="006250F1" w:rsidRPr="00072B2D" w:rsidRDefault="002D6119" w:rsidP="006250F1">
      <w:pPr>
        <w:widowControl w:val="0"/>
        <w:spacing w:after="120" w:line="285" w:lineRule="auto"/>
        <w:rPr>
          <w:rFonts w:ascii="Verdana" w:eastAsia="Times New Roman" w:hAnsi="Verdana" w:cs="Calibri"/>
          <w:kern w:val="28"/>
          <w:lang w:eastAsia="en-GB"/>
          <w14:cntxtAlts/>
        </w:rPr>
      </w:pPr>
      <w:r w:rsidRPr="00072B2D">
        <w:rPr>
          <w:rFonts w:ascii="Verdana" w:eastAsia="Times New Roman" w:hAnsi="Verdana" w:cs="Calibri"/>
          <w:b/>
          <w:kern w:val="28"/>
          <w:lang w:eastAsia="en-GB"/>
          <w14:cntxtAlts/>
        </w:rPr>
        <w:t>Relevant Employees</w:t>
      </w:r>
      <w:r w:rsidRPr="00072B2D">
        <w:rPr>
          <w:rFonts w:ascii="Verdana" w:eastAsia="Times New Roman" w:hAnsi="Verdana" w:cs="Calibri"/>
          <w:kern w:val="28"/>
          <w:lang w:eastAsia="en-GB"/>
          <w14:cntxtAlts/>
        </w:rPr>
        <w:t xml:space="preserve"> - This is the number of </w:t>
      </w:r>
      <w:r w:rsidR="002C2A47" w:rsidRPr="00072B2D">
        <w:rPr>
          <w:rFonts w:ascii="Verdana" w:eastAsia="Times New Roman" w:hAnsi="Verdana" w:cs="Calibri"/>
          <w:kern w:val="28"/>
          <w:lang w:eastAsia="en-GB"/>
          <w14:cntxtAlts/>
        </w:rPr>
        <w:t xml:space="preserve">employees </w:t>
      </w:r>
      <w:r w:rsidRPr="00072B2D">
        <w:rPr>
          <w:rFonts w:ascii="Verdana" w:eastAsia="Times New Roman" w:hAnsi="Verdana" w:cs="Calibri"/>
          <w:kern w:val="28"/>
          <w:lang w:eastAsia="en-GB"/>
          <w14:cntxtAlts/>
        </w:rPr>
        <w:t>employed by the Service on the snapshot date. This informs the mean and median bonus pay gap calculations. The difference in number</w:t>
      </w:r>
      <w:r w:rsidR="00B51CF9" w:rsidRPr="00072B2D">
        <w:rPr>
          <w:rFonts w:ascii="Verdana" w:eastAsia="Times New Roman" w:hAnsi="Verdana" w:cs="Calibri"/>
          <w:kern w:val="28"/>
          <w:lang w:eastAsia="en-GB"/>
          <w14:cntxtAlts/>
        </w:rPr>
        <w:t>s</w:t>
      </w:r>
      <w:r w:rsidRPr="00072B2D">
        <w:rPr>
          <w:rFonts w:ascii="Verdana" w:eastAsia="Times New Roman" w:hAnsi="Verdana" w:cs="Calibri"/>
          <w:kern w:val="28"/>
          <w:lang w:eastAsia="en-GB"/>
          <w14:cntxtAlts/>
        </w:rPr>
        <w:t xml:space="preserve"> between relevant and full</w:t>
      </w:r>
      <w:r w:rsidR="00DC4224" w:rsidRPr="00072B2D">
        <w:rPr>
          <w:rFonts w:ascii="Verdana" w:eastAsia="Times New Roman" w:hAnsi="Verdana" w:cs="Calibri"/>
          <w:kern w:val="28"/>
          <w:lang w:eastAsia="en-GB"/>
          <w14:cntxtAlts/>
        </w:rPr>
        <w:t>-</w:t>
      </w:r>
      <w:r w:rsidRPr="00072B2D">
        <w:rPr>
          <w:rFonts w:ascii="Verdana" w:eastAsia="Times New Roman" w:hAnsi="Verdana" w:cs="Calibri"/>
          <w:kern w:val="28"/>
          <w:lang w:eastAsia="en-GB"/>
          <w14:cntxtAlts/>
        </w:rPr>
        <w:t xml:space="preserve">pay relevant employees is due to </w:t>
      </w:r>
      <w:r w:rsidR="00B57760">
        <w:rPr>
          <w:rFonts w:ascii="Verdana" w:eastAsia="Times New Roman" w:hAnsi="Verdana" w:cs="Calibri"/>
          <w:kern w:val="28"/>
          <w:lang w:eastAsia="en-GB"/>
          <w14:cntxtAlts/>
        </w:rPr>
        <w:t>34</w:t>
      </w:r>
      <w:r w:rsidRPr="00072B2D">
        <w:rPr>
          <w:rFonts w:ascii="Verdana" w:eastAsia="Times New Roman" w:hAnsi="Verdana" w:cs="Calibri"/>
          <w:kern w:val="28"/>
          <w:lang w:eastAsia="en-GB"/>
          <w14:cntxtAlts/>
        </w:rPr>
        <w:t xml:space="preserve"> employees not receiving their usual full</w:t>
      </w:r>
      <w:r w:rsidR="00DC4224" w:rsidRPr="00072B2D">
        <w:rPr>
          <w:rFonts w:ascii="Verdana" w:eastAsia="Times New Roman" w:hAnsi="Verdana" w:cs="Calibri"/>
          <w:kern w:val="28"/>
          <w:lang w:eastAsia="en-GB"/>
          <w14:cntxtAlts/>
        </w:rPr>
        <w:t>-</w:t>
      </w:r>
      <w:r w:rsidRPr="00072B2D">
        <w:rPr>
          <w:rFonts w:ascii="Verdana" w:eastAsia="Times New Roman" w:hAnsi="Verdana" w:cs="Calibri"/>
          <w:kern w:val="28"/>
          <w:lang w:eastAsia="en-GB"/>
          <w14:cntxtAlts/>
        </w:rPr>
        <w:t>pay within the pay period (for 20</w:t>
      </w:r>
      <w:r w:rsidR="00002ABB" w:rsidRPr="00072B2D">
        <w:rPr>
          <w:rFonts w:ascii="Verdana" w:eastAsia="Times New Roman" w:hAnsi="Verdana" w:cs="Calibri"/>
          <w:kern w:val="28"/>
          <w:lang w:eastAsia="en-GB"/>
          <w14:cntxtAlts/>
        </w:rPr>
        <w:t>2</w:t>
      </w:r>
      <w:r w:rsidR="00B57760">
        <w:rPr>
          <w:rFonts w:ascii="Verdana" w:eastAsia="Times New Roman" w:hAnsi="Verdana" w:cs="Calibri"/>
          <w:kern w:val="28"/>
          <w:lang w:eastAsia="en-GB"/>
          <w14:cntxtAlts/>
        </w:rPr>
        <w:t>1</w:t>
      </w:r>
      <w:r w:rsidRPr="00072B2D">
        <w:rPr>
          <w:rFonts w:ascii="Verdana" w:eastAsia="Times New Roman" w:hAnsi="Verdana" w:cs="Calibri"/>
          <w:kern w:val="28"/>
          <w:lang w:eastAsia="en-GB"/>
          <w14:cntxtAlts/>
        </w:rPr>
        <w:t xml:space="preserve"> this was </w:t>
      </w:r>
      <w:r w:rsidR="00B57760">
        <w:rPr>
          <w:rFonts w:ascii="Verdana" w:eastAsia="Times New Roman" w:hAnsi="Verdana" w:cs="Calibri"/>
          <w:kern w:val="28"/>
          <w:lang w:eastAsia="en-GB"/>
          <w14:cntxtAlts/>
        </w:rPr>
        <w:t>41</w:t>
      </w:r>
      <w:r w:rsidRPr="00072B2D">
        <w:rPr>
          <w:rFonts w:ascii="Verdana" w:eastAsia="Times New Roman" w:hAnsi="Verdana" w:cs="Calibri"/>
          <w:kern w:val="28"/>
          <w:lang w:eastAsia="en-GB"/>
          <w14:cntxtAlts/>
        </w:rPr>
        <w:t xml:space="preserve"> employees).</w:t>
      </w:r>
      <w:r w:rsidR="006250F1" w:rsidRPr="00072B2D">
        <w:rPr>
          <w:rFonts w:ascii="Verdana" w:eastAsia="Times New Roman" w:hAnsi="Verdana" w:cs="Calibri"/>
          <w:kern w:val="28"/>
          <w:lang w:eastAsia="en-GB"/>
          <w14:cntxtAlts/>
        </w:rPr>
        <w:t xml:space="preserve"> </w:t>
      </w:r>
    </w:p>
    <w:p w14:paraId="0E54281F" w14:textId="5769AFD2" w:rsidR="00FD7EB0" w:rsidRDefault="006250F1" w:rsidP="00115A7A">
      <w:pPr>
        <w:widowControl w:val="0"/>
        <w:spacing w:after="120" w:line="285" w:lineRule="auto"/>
        <w:rPr>
          <w:rFonts w:ascii="Verdana" w:eastAsia="Times New Roman" w:hAnsi="Verdana" w:cs="Calibri"/>
          <w:kern w:val="28"/>
          <w:lang w:eastAsia="en-GB"/>
          <w14:cntxtAlts/>
        </w:rPr>
      </w:pPr>
      <w:r w:rsidRPr="00072B2D">
        <w:rPr>
          <w:rFonts w:ascii="Verdana" w:eastAsia="Times New Roman" w:hAnsi="Verdana" w:cs="Calibri"/>
          <w:kern w:val="28"/>
          <w:lang w:eastAsia="en-GB"/>
          <w14:cntxtAlts/>
        </w:rPr>
        <w:t>For 20</w:t>
      </w:r>
      <w:r w:rsidR="00501137" w:rsidRPr="00072B2D">
        <w:rPr>
          <w:rFonts w:ascii="Verdana" w:eastAsia="Times New Roman" w:hAnsi="Verdana" w:cs="Calibri"/>
          <w:kern w:val="28"/>
          <w:lang w:eastAsia="en-GB"/>
          <w14:cntxtAlts/>
        </w:rPr>
        <w:t>2</w:t>
      </w:r>
      <w:r w:rsidR="00B57760">
        <w:rPr>
          <w:rFonts w:ascii="Verdana" w:eastAsia="Times New Roman" w:hAnsi="Verdana" w:cs="Calibri"/>
          <w:kern w:val="28"/>
          <w:lang w:eastAsia="en-GB"/>
          <w14:cntxtAlts/>
        </w:rPr>
        <w:t>2</w:t>
      </w:r>
      <w:r w:rsidRPr="00072B2D">
        <w:rPr>
          <w:rFonts w:ascii="Verdana" w:eastAsia="Times New Roman" w:hAnsi="Verdana" w:cs="Calibri"/>
          <w:kern w:val="28"/>
          <w:lang w:eastAsia="en-GB"/>
          <w14:cntxtAlts/>
        </w:rPr>
        <w:t xml:space="preserve">, </w:t>
      </w:r>
      <w:r w:rsidR="00112E8E" w:rsidRPr="00072B2D">
        <w:rPr>
          <w:rFonts w:ascii="Verdana" w:eastAsia="Times New Roman" w:hAnsi="Verdana" w:cs="Calibri"/>
          <w:kern w:val="28"/>
          <w:lang w:eastAsia="en-GB"/>
          <w14:cntxtAlts/>
        </w:rPr>
        <w:t xml:space="preserve">the number </w:t>
      </w:r>
      <w:r w:rsidR="0047370E">
        <w:rPr>
          <w:rFonts w:ascii="Verdana" w:eastAsia="Times New Roman" w:hAnsi="Verdana" w:cs="Calibri"/>
          <w:kern w:val="28"/>
          <w:lang w:eastAsia="en-GB"/>
          <w14:cntxtAlts/>
        </w:rPr>
        <w:t xml:space="preserve">of relevant employees </w:t>
      </w:r>
      <w:r w:rsidR="00B57760">
        <w:rPr>
          <w:rFonts w:ascii="Verdana" w:eastAsia="Times New Roman" w:hAnsi="Verdana" w:cs="Calibri"/>
          <w:kern w:val="28"/>
          <w:lang w:eastAsia="en-GB"/>
          <w14:cntxtAlts/>
        </w:rPr>
        <w:t>de</w:t>
      </w:r>
      <w:r w:rsidR="00B51CF9" w:rsidRPr="00072B2D">
        <w:rPr>
          <w:rFonts w:ascii="Verdana" w:eastAsia="Times New Roman" w:hAnsi="Verdana" w:cs="Calibri"/>
          <w:kern w:val="28"/>
          <w:lang w:eastAsia="en-GB"/>
          <w14:cntxtAlts/>
        </w:rPr>
        <w:t xml:space="preserve">creased </w:t>
      </w:r>
      <w:r w:rsidR="00112E8E" w:rsidRPr="00072B2D">
        <w:rPr>
          <w:rFonts w:ascii="Verdana" w:eastAsia="Times New Roman" w:hAnsi="Verdana" w:cs="Calibri"/>
          <w:kern w:val="28"/>
          <w:lang w:eastAsia="en-GB"/>
          <w14:cntxtAlts/>
        </w:rPr>
        <w:t xml:space="preserve">by </w:t>
      </w:r>
      <w:r w:rsidR="006208FF">
        <w:rPr>
          <w:rFonts w:ascii="Verdana" w:eastAsia="Times New Roman" w:hAnsi="Verdana" w:cs="Calibri"/>
          <w:kern w:val="28"/>
          <w:lang w:eastAsia="en-GB"/>
          <w14:cntxtAlts/>
        </w:rPr>
        <w:t>0.2 percentage points for males (</w:t>
      </w:r>
      <w:r w:rsidR="00520DD3">
        <w:rPr>
          <w:rFonts w:ascii="Verdana" w:eastAsia="Times New Roman" w:hAnsi="Verdana" w:cs="Calibri"/>
          <w:kern w:val="28"/>
          <w:lang w:eastAsia="en-GB"/>
          <w14:cntxtAlts/>
        </w:rPr>
        <w:t>one</w:t>
      </w:r>
      <w:r w:rsidR="00DA61B0" w:rsidRPr="00072B2D">
        <w:rPr>
          <w:rFonts w:ascii="Verdana" w:eastAsia="Times New Roman" w:hAnsi="Verdana" w:cs="Calibri"/>
          <w:kern w:val="28"/>
          <w:lang w:eastAsia="en-GB"/>
          <w14:cntxtAlts/>
        </w:rPr>
        <w:t xml:space="preserve"> </w:t>
      </w:r>
      <w:r w:rsidRPr="00072B2D">
        <w:rPr>
          <w:rFonts w:ascii="Verdana" w:eastAsia="Times New Roman" w:hAnsi="Verdana" w:cs="Calibri"/>
          <w:kern w:val="28"/>
          <w:lang w:eastAsia="en-GB"/>
          <w14:cntxtAlts/>
        </w:rPr>
        <w:t>male</w:t>
      </w:r>
      <w:r w:rsidR="00FF30EA">
        <w:rPr>
          <w:rFonts w:ascii="Verdana" w:eastAsia="Times New Roman" w:hAnsi="Verdana" w:cs="Calibri"/>
          <w:kern w:val="28"/>
          <w:lang w:eastAsia="en-GB"/>
          <w14:cntxtAlts/>
        </w:rPr>
        <w:t>)</w:t>
      </w:r>
      <w:r w:rsidR="006208FF">
        <w:rPr>
          <w:rFonts w:ascii="Verdana" w:eastAsia="Times New Roman" w:hAnsi="Verdana" w:cs="Calibri"/>
          <w:kern w:val="28"/>
          <w:lang w:eastAsia="en-GB"/>
          <w14:cntxtAlts/>
        </w:rPr>
        <w:t>,</w:t>
      </w:r>
      <w:r w:rsidR="00FF30EA">
        <w:rPr>
          <w:rFonts w:ascii="Verdana" w:eastAsia="Times New Roman" w:hAnsi="Verdana" w:cs="Calibri"/>
          <w:kern w:val="28"/>
          <w:lang w:eastAsia="en-GB"/>
          <w14:cntxtAlts/>
        </w:rPr>
        <w:t xml:space="preserve"> </w:t>
      </w:r>
      <w:r w:rsidR="00DA61B0" w:rsidRPr="00072B2D">
        <w:rPr>
          <w:rFonts w:ascii="Verdana" w:eastAsia="Times New Roman" w:hAnsi="Verdana" w:cs="Calibri"/>
          <w:kern w:val="28"/>
          <w:lang w:eastAsia="en-GB"/>
          <w14:cntxtAlts/>
        </w:rPr>
        <w:t xml:space="preserve">and </w:t>
      </w:r>
      <w:r w:rsidR="006208FF">
        <w:rPr>
          <w:rFonts w:ascii="Verdana" w:eastAsia="Times New Roman" w:hAnsi="Verdana" w:cs="Calibri"/>
          <w:kern w:val="28"/>
          <w:lang w:eastAsia="en-GB"/>
          <w14:cntxtAlts/>
        </w:rPr>
        <w:t xml:space="preserve">5.2 percentage points for </w:t>
      </w:r>
      <w:r w:rsidR="00DA61B0" w:rsidRPr="00072B2D">
        <w:rPr>
          <w:rFonts w:ascii="Verdana" w:eastAsia="Times New Roman" w:hAnsi="Verdana" w:cs="Calibri"/>
          <w:kern w:val="28"/>
          <w:lang w:eastAsia="en-GB"/>
          <w14:cntxtAlts/>
        </w:rPr>
        <w:t>females</w:t>
      </w:r>
      <w:r w:rsidR="00FF30EA">
        <w:rPr>
          <w:rFonts w:ascii="Verdana" w:eastAsia="Times New Roman" w:hAnsi="Verdana" w:cs="Calibri"/>
          <w:kern w:val="28"/>
          <w:lang w:eastAsia="en-GB"/>
          <w14:cntxtAlts/>
        </w:rPr>
        <w:t xml:space="preserve"> (</w:t>
      </w:r>
      <w:r w:rsidR="006208FF">
        <w:rPr>
          <w:rFonts w:ascii="Verdana" w:eastAsia="Times New Roman" w:hAnsi="Verdana" w:cs="Calibri"/>
          <w:kern w:val="28"/>
          <w:lang w:eastAsia="en-GB"/>
          <w14:cntxtAlts/>
        </w:rPr>
        <w:t>five females</w:t>
      </w:r>
      <w:r w:rsidR="00FF30EA">
        <w:rPr>
          <w:rFonts w:ascii="Verdana" w:eastAsia="Times New Roman" w:hAnsi="Verdana" w:cs="Calibri"/>
          <w:kern w:val="28"/>
          <w:lang w:eastAsia="en-GB"/>
          <w14:cntxtAlts/>
        </w:rPr>
        <w:t>)</w:t>
      </w:r>
      <w:r w:rsidR="002E737E" w:rsidRPr="00072B2D">
        <w:rPr>
          <w:rFonts w:ascii="Verdana" w:eastAsia="Times New Roman" w:hAnsi="Verdana" w:cs="Calibri"/>
          <w:kern w:val="28"/>
          <w:lang w:eastAsia="en-GB"/>
          <w14:cntxtAlts/>
        </w:rPr>
        <w:t xml:space="preserve"> </w:t>
      </w:r>
      <w:r w:rsidR="00115A7A">
        <w:rPr>
          <w:rFonts w:ascii="Verdana" w:eastAsia="Times New Roman" w:hAnsi="Verdana" w:cs="Calibri"/>
          <w:kern w:val="28"/>
          <w:lang w:eastAsia="en-GB"/>
          <w14:cntxtAlts/>
        </w:rPr>
        <w:t>from the numbers of employees detailed for 2021.</w:t>
      </w:r>
    </w:p>
    <w:p w14:paraId="29338494" w14:textId="3AD60545" w:rsidR="002E737E" w:rsidRPr="00520DD3" w:rsidRDefault="002E737E" w:rsidP="007E41FC">
      <w:pPr>
        <w:widowControl w:val="0"/>
        <w:spacing w:after="120" w:line="285" w:lineRule="auto"/>
        <w:rPr>
          <w:rFonts w:ascii="Verdana" w:eastAsia="Times New Roman" w:hAnsi="Verdana" w:cs="Calibri"/>
          <w:kern w:val="28"/>
          <w:lang w:eastAsia="en-GB"/>
          <w14:cntxtAlts/>
        </w:rPr>
      </w:pPr>
      <w:r w:rsidRPr="00520DD3">
        <w:rPr>
          <w:rFonts w:ascii="Verdana" w:eastAsia="Times New Roman" w:hAnsi="Verdana" w:cs="Calibri"/>
          <w:kern w:val="28"/>
          <w:lang w:eastAsia="en-GB"/>
          <w14:cntxtAlts/>
        </w:rPr>
        <w:t>Since 2017 the</w:t>
      </w:r>
      <w:r w:rsidR="00FD7EB0" w:rsidRPr="00520DD3">
        <w:rPr>
          <w:rFonts w:ascii="Verdana" w:eastAsia="Times New Roman" w:hAnsi="Verdana" w:cs="Calibri"/>
          <w:kern w:val="28"/>
          <w:lang w:eastAsia="en-GB"/>
          <w14:cntxtAlts/>
        </w:rPr>
        <w:t xml:space="preserve">re has been an overall decrease in </w:t>
      </w:r>
      <w:r w:rsidR="00FF30EA" w:rsidRPr="00520DD3">
        <w:rPr>
          <w:rFonts w:ascii="Verdana" w:eastAsia="Times New Roman" w:hAnsi="Verdana" w:cs="Calibri"/>
          <w:kern w:val="28"/>
          <w:lang w:eastAsia="en-GB"/>
          <w14:cntxtAlts/>
        </w:rPr>
        <w:t xml:space="preserve">the total number of </w:t>
      </w:r>
      <w:r w:rsidR="00FD7EB0" w:rsidRPr="00520DD3">
        <w:rPr>
          <w:rFonts w:ascii="Verdana" w:eastAsia="Times New Roman" w:hAnsi="Verdana" w:cs="Calibri"/>
          <w:kern w:val="28"/>
          <w:lang w:eastAsia="en-GB"/>
          <w14:cntxtAlts/>
        </w:rPr>
        <w:t xml:space="preserve">full pay relevant employees </w:t>
      </w:r>
      <w:r w:rsidR="00FF30EA" w:rsidRPr="00520DD3">
        <w:rPr>
          <w:rFonts w:ascii="Verdana" w:eastAsia="Times New Roman" w:hAnsi="Verdana" w:cs="Calibri"/>
          <w:kern w:val="28"/>
          <w:lang w:eastAsia="en-GB"/>
          <w14:cntxtAlts/>
        </w:rPr>
        <w:t xml:space="preserve">by </w:t>
      </w:r>
      <w:r w:rsidR="00FD7EB0" w:rsidRPr="00520DD3">
        <w:rPr>
          <w:rFonts w:ascii="Verdana" w:eastAsia="Times New Roman" w:hAnsi="Verdana" w:cs="Calibri"/>
          <w:kern w:val="28"/>
          <w:lang w:eastAsia="en-GB"/>
          <w14:cntxtAlts/>
        </w:rPr>
        <w:t>1.7 percentage points</w:t>
      </w:r>
      <w:r w:rsidR="0057625C" w:rsidRPr="00520DD3">
        <w:rPr>
          <w:rFonts w:ascii="Verdana" w:eastAsia="Times New Roman" w:hAnsi="Verdana" w:cs="Calibri"/>
          <w:kern w:val="28"/>
          <w:lang w:eastAsia="en-GB"/>
          <w14:cntxtAlts/>
        </w:rPr>
        <w:t>. W</w:t>
      </w:r>
      <w:r w:rsidR="00FD7EB0" w:rsidRPr="00520DD3">
        <w:rPr>
          <w:rFonts w:ascii="Verdana" w:eastAsia="Times New Roman" w:hAnsi="Verdana" w:cs="Calibri"/>
          <w:kern w:val="28"/>
          <w:lang w:eastAsia="en-GB"/>
          <w14:cntxtAlts/>
        </w:rPr>
        <w:t xml:space="preserve">hen compared to the gender specific </w:t>
      </w:r>
      <w:r w:rsidR="00FF30EA" w:rsidRPr="00520DD3">
        <w:rPr>
          <w:rFonts w:ascii="Verdana" w:eastAsia="Times New Roman" w:hAnsi="Verdana" w:cs="Calibri"/>
          <w:kern w:val="28"/>
          <w:lang w:eastAsia="en-GB"/>
          <w14:cntxtAlts/>
        </w:rPr>
        <w:t>data</w:t>
      </w:r>
      <w:r w:rsidR="00FD7EB0" w:rsidRPr="00520DD3">
        <w:rPr>
          <w:rFonts w:ascii="Verdana" w:eastAsia="Times New Roman" w:hAnsi="Verdana" w:cs="Calibri"/>
          <w:kern w:val="28"/>
          <w:lang w:eastAsia="en-GB"/>
          <w14:cntxtAlts/>
        </w:rPr>
        <w:t>, the number</w:t>
      </w:r>
      <w:r w:rsidRPr="00520DD3">
        <w:rPr>
          <w:rFonts w:ascii="Verdana" w:eastAsia="Times New Roman" w:hAnsi="Verdana" w:cs="Calibri"/>
          <w:kern w:val="28"/>
          <w:lang w:eastAsia="en-GB"/>
          <w14:cntxtAlts/>
        </w:rPr>
        <w:t xml:space="preserve"> of full-pay relevant employees has </w:t>
      </w:r>
      <w:r w:rsidR="00520DD3" w:rsidRPr="00520DD3">
        <w:rPr>
          <w:rFonts w:ascii="Verdana" w:eastAsia="Times New Roman" w:hAnsi="Verdana" w:cs="Calibri"/>
          <w:kern w:val="28"/>
          <w:lang w:eastAsia="en-GB"/>
          <w14:cntxtAlts/>
        </w:rPr>
        <w:t xml:space="preserve">decreased by 4.5 percentage points for males and increased by 10.1 percentage points for females. </w:t>
      </w:r>
      <w:r w:rsidR="0057625C" w:rsidRPr="00520DD3">
        <w:rPr>
          <w:rFonts w:ascii="Verdana" w:eastAsia="Times New Roman" w:hAnsi="Verdana" w:cs="Calibri"/>
          <w:kern w:val="28"/>
          <w:lang w:eastAsia="en-GB"/>
          <w14:cntxtAlts/>
        </w:rPr>
        <w:t>For re</w:t>
      </w:r>
      <w:r w:rsidR="00FD7EB0" w:rsidRPr="00520DD3">
        <w:rPr>
          <w:rFonts w:ascii="Verdana" w:eastAsia="Times New Roman" w:hAnsi="Verdana" w:cs="Calibri"/>
          <w:kern w:val="28"/>
          <w:lang w:eastAsia="en-GB"/>
          <w14:cntxtAlts/>
        </w:rPr>
        <w:t>levant</w:t>
      </w:r>
      <w:r w:rsidR="0057625C" w:rsidRPr="00520DD3">
        <w:rPr>
          <w:rFonts w:ascii="Verdana" w:eastAsia="Times New Roman" w:hAnsi="Verdana" w:cs="Calibri"/>
          <w:kern w:val="28"/>
          <w:lang w:eastAsia="en-GB"/>
          <w14:cntxtAlts/>
        </w:rPr>
        <w:t xml:space="preserve"> employees, there has been an </w:t>
      </w:r>
      <w:r w:rsidR="00FD7EB0" w:rsidRPr="00520DD3">
        <w:rPr>
          <w:rFonts w:ascii="Verdana" w:eastAsia="Times New Roman" w:hAnsi="Verdana" w:cs="Calibri"/>
          <w:kern w:val="28"/>
          <w:lang w:eastAsia="en-GB"/>
          <w14:cntxtAlts/>
        </w:rPr>
        <w:t>overall increase</w:t>
      </w:r>
      <w:r w:rsidR="0057625C" w:rsidRPr="00520DD3">
        <w:rPr>
          <w:rFonts w:ascii="Verdana" w:eastAsia="Times New Roman" w:hAnsi="Verdana" w:cs="Calibri"/>
          <w:kern w:val="28"/>
          <w:lang w:eastAsia="en-GB"/>
          <w14:cntxtAlts/>
        </w:rPr>
        <w:t xml:space="preserve"> </w:t>
      </w:r>
      <w:r w:rsidR="00FF30EA" w:rsidRPr="00520DD3">
        <w:rPr>
          <w:rFonts w:ascii="Verdana" w:eastAsia="Times New Roman" w:hAnsi="Verdana" w:cs="Calibri"/>
          <w:kern w:val="28"/>
          <w:lang w:eastAsia="en-GB"/>
          <w14:cntxtAlts/>
        </w:rPr>
        <w:t xml:space="preserve">in the total number of relevant employees by </w:t>
      </w:r>
      <w:r w:rsidR="00FD7EB0" w:rsidRPr="00520DD3">
        <w:rPr>
          <w:rFonts w:ascii="Verdana" w:eastAsia="Times New Roman" w:hAnsi="Verdana" w:cs="Calibri"/>
          <w:kern w:val="28"/>
          <w:lang w:eastAsia="en-GB"/>
          <w14:cntxtAlts/>
        </w:rPr>
        <w:t>2</w:t>
      </w:r>
      <w:r w:rsidR="00520DD3" w:rsidRPr="00520DD3">
        <w:rPr>
          <w:rFonts w:ascii="Verdana" w:eastAsia="Times New Roman" w:hAnsi="Verdana" w:cs="Calibri"/>
          <w:kern w:val="28"/>
          <w:lang w:eastAsia="en-GB"/>
          <w14:cntxtAlts/>
        </w:rPr>
        <w:t>.0</w:t>
      </w:r>
      <w:r w:rsidR="00FD7EB0" w:rsidRPr="00520DD3">
        <w:rPr>
          <w:rFonts w:ascii="Verdana" w:eastAsia="Times New Roman" w:hAnsi="Verdana" w:cs="Calibri"/>
          <w:kern w:val="28"/>
          <w:lang w:eastAsia="en-GB"/>
          <w14:cntxtAlts/>
        </w:rPr>
        <w:t xml:space="preserve"> percent</w:t>
      </w:r>
      <w:r w:rsidR="0057625C" w:rsidRPr="00520DD3">
        <w:rPr>
          <w:rFonts w:ascii="Verdana" w:eastAsia="Times New Roman" w:hAnsi="Verdana" w:cs="Calibri"/>
          <w:kern w:val="28"/>
          <w:lang w:eastAsia="en-GB"/>
          <w14:cntxtAlts/>
        </w:rPr>
        <w:t>age points</w:t>
      </w:r>
      <w:r w:rsidR="00FF30EA" w:rsidRPr="00520DD3">
        <w:rPr>
          <w:rFonts w:ascii="Verdana" w:eastAsia="Times New Roman" w:hAnsi="Verdana" w:cs="Calibri"/>
          <w:kern w:val="28"/>
          <w:lang w:eastAsia="en-GB"/>
          <w14:cntxtAlts/>
        </w:rPr>
        <w:t>. W</w:t>
      </w:r>
      <w:r w:rsidR="0057625C" w:rsidRPr="00520DD3">
        <w:rPr>
          <w:rFonts w:ascii="Verdana" w:eastAsia="Times New Roman" w:hAnsi="Verdana" w:cs="Calibri"/>
          <w:kern w:val="28"/>
          <w:lang w:eastAsia="en-GB"/>
          <w14:cntxtAlts/>
        </w:rPr>
        <w:t xml:space="preserve">hen compared to the gender specific data, the number of </w:t>
      </w:r>
      <w:r w:rsidR="00520DD3" w:rsidRPr="00520DD3">
        <w:rPr>
          <w:rFonts w:ascii="Verdana" w:eastAsia="Times New Roman" w:hAnsi="Verdana" w:cs="Calibri"/>
          <w:kern w:val="28"/>
          <w:lang w:eastAsia="en-GB"/>
          <w14:cntxtAlts/>
        </w:rPr>
        <w:t>relevant employees has decreased by 0.7 percentage points for males and increased by 14.7 percentage points for females.</w:t>
      </w:r>
      <w:r w:rsidRPr="00520DD3">
        <w:rPr>
          <w:rFonts w:ascii="Verdana" w:eastAsia="Times New Roman" w:hAnsi="Verdana" w:cs="Calibri"/>
          <w:kern w:val="28"/>
          <w:lang w:eastAsia="en-GB"/>
          <w14:cntxtAlts/>
        </w:rPr>
        <w:t xml:space="preserve"> </w:t>
      </w:r>
      <w:r w:rsidR="0038676F" w:rsidRPr="00520DD3">
        <w:rPr>
          <w:rFonts w:ascii="Verdana" w:eastAsia="Times New Roman" w:hAnsi="Verdana" w:cs="Calibri"/>
          <w:kern w:val="28"/>
          <w:lang w:eastAsia="en-GB"/>
          <w14:cntxtAlts/>
        </w:rPr>
        <w:t xml:space="preserve">The change in employee numbers will directly influence the reportable data and the gender pay gap. </w:t>
      </w:r>
    </w:p>
    <w:p w14:paraId="517CD035" w14:textId="0CD8216E" w:rsidR="00F626C1" w:rsidRDefault="008D3AC7" w:rsidP="00520DD3">
      <w:pPr>
        <w:widowControl w:val="0"/>
        <w:spacing w:before="240" w:after="120" w:line="285" w:lineRule="auto"/>
        <w:rPr>
          <w:rFonts w:ascii="Verdana" w:eastAsia="Times New Roman" w:hAnsi="Verdana" w:cs="Calibri"/>
          <w:kern w:val="28"/>
          <w:lang w:eastAsia="en-GB"/>
          <w14:cntxtAlts/>
        </w:rPr>
      </w:pPr>
      <w:r w:rsidRPr="003514F3">
        <w:rPr>
          <w:rFonts w:ascii="Verdana" w:eastAsia="Times New Roman" w:hAnsi="Verdana" w:cs="Calibri"/>
          <w:kern w:val="28"/>
          <w:lang w:eastAsia="en-GB"/>
          <w14:cntxtAlts/>
        </w:rPr>
        <w:t xml:space="preserve">Whilst the Service </w:t>
      </w:r>
      <w:r w:rsidR="003514F3" w:rsidRPr="003514F3">
        <w:rPr>
          <w:rFonts w:ascii="Verdana" w:eastAsia="Times New Roman" w:hAnsi="Verdana" w:cs="Calibri"/>
          <w:kern w:val="28"/>
          <w:lang w:eastAsia="en-GB"/>
          <w14:cntxtAlts/>
        </w:rPr>
        <w:t xml:space="preserve">continues to </w:t>
      </w:r>
      <w:r w:rsidRPr="003514F3">
        <w:rPr>
          <w:rFonts w:ascii="Verdana" w:eastAsia="Times New Roman" w:hAnsi="Verdana" w:cs="Calibri"/>
          <w:kern w:val="28"/>
          <w:lang w:eastAsia="en-GB"/>
          <w14:cntxtAlts/>
        </w:rPr>
        <w:t xml:space="preserve">increase the percentage of females </w:t>
      </w:r>
      <w:r w:rsidR="0038676F" w:rsidRPr="003514F3">
        <w:rPr>
          <w:rFonts w:ascii="Verdana" w:eastAsia="Times New Roman" w:hAnsi="Verdana" w:cs="Calibri"/>
          <w:kern w:val="28"/>
          <w:lang w:eastAsia="en-GB"/>
          <w14:cntxtAlts/>
        </w:rPr>
        <w:t xml:space="preserve">employed, </w:t>
      </w:r>
      <w:r w:rsidR="0038676F">
        <w:rPr>
          <w:rFonts w:ascii="Verdana" w:eastAsia="Times New Roman" w:hAnsi="Verdana" w:cs="Calibri"/>
          <w:kern w:val="28"/>
          <w:lang w:eastAsia="en-GB"/>
          <w14:cntxtAlts/>
        </w:rPr>
        <w:t>for</w:t>
      </w:r>
      <w:r w:rsidR="002E737E">
        <w:rPr>
          <w:rFonts w:ascii="Verdana" w:eastAsia="Times New Roman" w:hAnsi="Verdana" w:cs="Calibri"/>
          <w:kern w:val="28"/>
          <w:lang w:eastAsia="en-GB"/>
          <w14:cntxtAlts/>
        </w:rPr>
        <w:t xml:space="preserve"> 202</w:t>
      </w:r>
      <w:r w:rsidR="006B67E5">
        <w:rPr>
          <w:rFonts w:ascii="Verdana" w:eastAsia="Times New Roman" w:hAnsi="Verdana" w:cs="Calibri"/>
          <w:kern w:val="28"/>
          <w:lang w:eastAsia="en-GB"/>
          <w14:cntxtAlts/>
        </w:rPr>
        <w:t>2</w:t>
      </w:r>
      <w:r w:rsidR="002E737E">
        <w:rPr>
          <w:rFonts w:ascii="Verdana" w:eastAsia="Times New Roman" w:hAnsi="Verdana" w:cs="Calibri"/>
          <w:kern w:val="28"/>
          <w:lang w:eastAsia="en-GB"/>
          <w14:cntxtAlts/>
        </w:rPr>
        <w:t xml:space="preserve"> </w:t>
      </w:r>
      <w:r w:rsidRPr="003514F3">
        <w:rPr>
          <w:rFonts w:ascii="Verdana" w:eastAsia="Times New Roman" w:hAnsi="Verdana" w:cs="Calibri"/>
          <w:kern w:val="28"/>
          <w:lang w:eastAsia="en-GB"/>
          <w14:cntxtAlts/>
        </w:rPr>
        <w:t>t</w:t>
      </w:r>
      <w:r w:rsidR="00402118" w:rsidRPr="003514F3">
        <w:rPr>
          <w:rFonts w:ascii="Verdana" w:eastAsia="Times New Roman" w:hAnsi="Verdana" w:cs="Calibri"/>
          <w:kern w:val="28"/>
          <w:lang w:eastAsia="en-GB"/>
          <w14:cntxtAlts/>
        </w:rPr>
        <w:t>he gender split for employees shows that overall females continue to be under</w:t>
      </w:r>
      <w:r w:rsidR="00E85F25" w:rsidRPr="003514F3">
        <w:rPr>
          <w:rFonts w:ascii="Verdana" w:eastAsia="Times New Roman" w:hAnsi="Verdana" w:cs="Calibri"/>
          <w:kern w:val="28"/>
          <w:lang w:eastAsia="en-GB"/>
          <w14:cntxtAlts/>
        </w:rPr>
        <w:t>-</w:t>
      </w:r>
      <w:r w:rsidR="00402118" w:rsidRPr="003514F3">
        <w:rPr>
          <w:rFonts w:ascii="Verdana" w:eastAsia="Times New Roman" w:hAnsi="Verdana" w:cs="Calibri"/>
          <w:kern w:val="28"/>
          <w:lang w:eastAsia="en-GB"/>
          <w14:cntxtAlts/>
        </w:rPr>
        <w:t xml:space="preserve">represented within the </w:t>
      </w:r>
      <w:r w:rsidR="002D3607" w:rsidRPr="003514F3">
        <w:rPr>
          <w:rFonts w:ascii="Verdana" w:eastAsia="Times New Roman" w:hAnsi="Verdana" w:cs="Calibri"/>
          <w:kern w:val="28"/>
          <w:lang w:eastAsia="en-GB"/>
          <w14:cntxtAlts/>
        </w:rPr>
        <w:t>Service</w:t>
      </w:r>
      <w:r w:rsidR="00402118" w:rsidRPr="003514F3">
        <w:rPr>
          <w:rFonts w:ascii="Verdana" w:eastAsia="Times New Roman" w:hAnsi="Verdana" w:cs="Calibri"/>
          <w:kern w:val="28"/>
          <w:lang w:eastAsia="en-GB"/>
          <w14:cntxtAlts/>
        </w:rPr>
        <w:t>.</w:t>
      </w:r>
      <w:r w:rsidRPr="003514F3">
        <w:rPr>
          <w:rFonts w:ascii="Verdana" w:eastAsia="Times New Roman" w:hAnsi="Verdana" w:cs="Calibri"/>
          <w:kern w:val="28"/>
          <w:lang w:eastAsia="en-GB"/>
          <w14:cntxtAlts/>
        </w:rPr>
        <w:t xml:space="preserve"> </w:t>
      </w:r>
      <w:r w:rsidR="00402118" w:rsidRPr="003514F3">
        <w:rPr>
          <w:rFonts w:ascii="Verdana" w:eastAsia="Times New Roman" w:hAnsi="Verdana" w:cs="Calibri"/>
          <w:kern w:val="28"/>
          <w:lang w:eastAsia="en-GB"/>
          <w14:cntxtAlts/>
        </w:rPr>
        <w:t xml:space="preserve">This is due to the under-representation of females in </w:t>
      </w:r>
      <w:r w:rsidR="00501137" w:rsidRPr="003514F3">
        <w:rPr>
          <w:rFonts w:ascii="Verdana" w:eastAsia="Times New Roman" w:hAnsi="Verdana" w:cs="Calibri"/>
          <w:kern w:val="28"/>
          <w:lang w:eastAsia="en-GB"/>
          <w14:cntxtAlts/>
        </w:rPr>
        <w:t>O</w:t>
      </w:r>
      <w:r w:rsidR="00402118" w:rsidRPr="003514F3">
        <w:rPr>
          <w:rFonts w:ascii="Verdana" w:eastAsia="Times New Roman" w:hAnsi="Verdana" w:cs="Calibri"/>
          <w:kern w:val="28"/>
          <w:lang w:eastAsia="en-GB"/>
          <w14:cntxtAlts/>
        </w:rPr>
        <w:t>perational roles rather than in Support Service roles.</w:t>
      </w:r>
      <w:r w:rsidRPr="003514F3">
        <w:rPr>
          <w:rFonts w:ascii="Verdana" w:eastAsia="Times New Roman" w:hAnsi="Verdana" w:cs="Calibri"/>
          <w:kern w:val="28"/>
          <w:lang w:eastAsia="en-GB"/>
          <w14:cntxtAlts/>
        </w:rPr>
        <w:t xml:space="preserve"> </w:t>
      </w:r>
      <w:r w:rsidR="00402118" w:rsidRPr="003514F3">
        <w:rPr>
          <w:rFonts w:ascii="Verdana" w:eastAsia="Times New Roman" w:hAnsi="Verdana" w:cs="Calibri"/>
          <w:kern w:val="28"/>
          <w:lang w:eastAsia="en-GB"/>
          <w14:cntxtAlts/>
        </w:rPr>
        <w:t xml:space="preserve"> </w:t>
      </w:r>
    </w:p>
    <w:p w14:paraId="3C4C6B21" w14:textId="77777777" w:rsidR="007E41FC" w:rsidRDefault="007E41FC" w:rsidP="003806F3">
      <w:pPr>
        <w:widowControl w:val="0"/>
        <w:spacing w:after="0" w:line="285" w:lineRule="auto"/>
        <w:rPr>
          <w:rFonts w:ascii="Verdana" w:eastAsia="Times New Roman" w:hAnsi="Verdana" w:cs="Calibri"/>
          <w:color w:val="000000"/>
          <w:kern w:val="28"/>
          <w:lang w:eastAsia="en-GB"/>
          <w14:cntxtAlts/>
        </w:rPr>
      </w:pPr>
      <w:r w:rsidRPr="007E41FC">
        <w:rPr>
          <w:rFonts w:ascii="Verdana" w:eastAsia="Times New Roman" w:hAnsi="Verdana" w:cs="Calibri"/>
          <w:color w:val="000000"/>
          <w:kern w:val="28"/>
          <w:lang w:eastAsia="en-GB"/>
          <w14:cntxtAlts/>
        </w:rPr>
        <w:t>Below details the standard information to be disclosed by organisations as part of the gender pay gap reporting as detailed in Schedule 1 of the Equality Act 2010 (Specific Duties and Public Authorities) Regulations 2017.</w:t>
      </w:r>
    </w:p>
    <w:p w14:paraId="5AB69DB7" w14:textId="77777777" w:rsidR="009B29F3" w:rsidRPr="007E41FC" w:rsidRDefault="009B29F3" w:rsidP="009B29F3">
      <w:pPr>
        <w:widowControl w:val="0"/>
        <w:spacing w:after="0" w:line="285" w:lineRule="auto"/>
        <w:rPr>
          <w:rFonts w:ascii="Verdana" w:eastAsia="Times New Roman" w:hAnsi="Verdana" w:cs="Calibri"/>
          <w:color w:val="000000"/>
          <w:kern w:val="28"/>
          <w:lang w:eastAsia="en-GB"/>
          <w14:cntxtAlts/>
        </w:rPr>
      </w:pPr>
    </w:p>
    <w:p w14:paraId="2ACD4F52" w14:textId="77777777" w:rsidR="007E41FC" w:rsidRPr="007E41FC" w:rsidRDefault="007E41FC" w:rsidP="007E41FC">
      <w:pPr>
        <w:widowControl w:val="0"/>
        <w:spacing w:after="120" w:line="285" w:lineRule="auto"/>
        <w:rPr>
          <w:rFonts w:ascii="Verdana" w:eastAsia="Times New Roman" w:hAnsi="Verdana" w:cs="Calibri"/>
          <w:color w:val="000000"/>
          <w:kern w:val="28"/>
          <w:lang w:eastAsia="en-GB"/>
          <w14:cntxtAlts/>
        </w:rPr>
      </w:pPr>
      <w:r w:rsidRPr="007E41FC">
        <w:rPr>
          <w:rFonts w:ascii="Verdana" w:eastAsia="Times New Roman" w:hAnsi="Verdana" w:cs="Calibri"/>
          <w:b/>
          <w:bCs/>
          <w:color w:val="000000"/>
          <w:kern w:val="28"/>
          <w:sz w:val="24"/>
          <w:szCs w:val="24"/>
          <w:lang w:eastAsia="en-GB"/>
          <w14:cntxtAlts/>
        </w:rPr>
        <w:t>Pay</w:t>
      </w:r>
      <w:r w:rsidRPr="007E41FC">
        <w:rPr>
          <w:rFonts w:ascii="Verdana" w:eastAsia="Times New Roman" w:hAnsi="Verdana" w:cs="Calibri"/>
          <w:color w:val="000000"/>
          <w:kern w:val="28"/>
          <w:lang w:eastAsia="en-GB"/>
          <w14:cntxtAlts/>
        </w:rPr>
        <w:t xml:space="preserve">: This </w:t>
      </w:r>
      <w:r w:rsidR="00052544">
        <w:rPr>
          <w:rFonts w:ascii="Verdana" w:eastAsia="Times New Roman" w:hAnsi="Verdana" w:cs="Calibri"/>
          <w:color w:val="000000"/>
          <w:kern w:val="28"/>
          <w:lang w:eastAsia="en-GB"/>
          <w14:cntxtAlts/>
        </w:rPr>
        <w:t xml:space="preserve">refers to </w:t>
      </w:r>
      <w:r w:rsidRPr="007E41FC">
        <w:rPr>
          <w:rFonts w:ascii="Verdana" w:eastAsia="Times New Roman" w:hAnsi="Verdana" w:cs="Calibri"/>
          <w:color w:val="000000"/>
          <w:kern w:val="28"/>
          <w:lang w:eastAsia="en-GB"/>
          <w14:cntxtAlts/>
        </w:rPr>
        <w:t>the ordinary pay received by each full-pay relevant employee in the pay period at the snapshot date. Ordinary pay includes basic pay, allowances, pa</w:t>
      </w:r>
      <w:r w:rsidR="00052544">
        <w:rPr>
          <w:rFonts w:ascii="Verdana" w:eastAsia="Times New Roman" w:hAnsi="Verdana" w:cs="Calibri"/>
          <w:color w:val="000000"/>
          <w:kern w:val="28"/>
          <w:lang w:eastAsia="en-GB"/>
          <w14:cntxtAlts/>
        </w:rPr>
        <w:t>id</w:t>
      </w:r>
      <w:r w:rsidRPr="007E41FC">
        <w:rPr>
          <w:rFonts w:ascii="Verdana" w:eastAsia="Times New Roman" w:hAnsi="Verdana" w:cs="Calibri"/>
          <w:color w:val="000000"/>
          <w:kern w:val="28"/>
          <w:lang w:eastAsia="en-GB"/>
          <w14:cntxtAlts/>
        </w:rPr>
        <w:t xml:space="preserve"> leave and shift premium pay and calculated before deductions are made</w:t>
      </w:r>
      <w:r w:rsidR="004E71BD">
        <w:rPr>
          <w:rFonts w:ascii="Verdana" w:eastAsia="Times New Roman" w:hAnsi="Verdana" w:cs="Calibri"/>
          <w:color w:val="000000"/>
          <w:kern w:val="28"/>
          <w:lang w:eastAsia="en-GB"/>
          <w14:cntxtAlts/>
        </w:rPr>
        <w:t xml:space="preserve"> </w:t>
      </w:r>
      <w:r w:rsidRPr="007E41FC">
        <w:rPr>
          <w:rFonts w:ascii="Verdana" w:eastAsia="Times New Roman" w:hAnsi="Verdana" w:cs="Calibri"/>
          <w:color w:val="000000"/>
          <w:kern w:val="28"/>
          <w:lang w:eastAsia="en-GB"/>
          <w14:cntxtAlts/>
        </w:rPr>
        <w:t>at source. This data examines:</w:t>
      </w:r>
    </w:p>
    <w:p w14:paraId="2168CE77" w14:textId="77777777" w:rsidR="007E41FC" w:rsidRPr="007E41FC" w:rsidRDefault="007E41FC" w:rsidP="00BB3BC5">
      <w:pPr>
        <w:pStyle w:val="ListParagraph"/>
        <w:widowControl w:val="0"/>
        <w:numPr>
          <w:ilvl w:val="0"/>
          <w:numId w:val="2"/>
        </w:numPr>
        <w:spacing w:after="120" w:line="285" w:lineRule="auto"/>
        <w:rPr>
          <w:rFonts w:ascii="Verdana" w:eastAsia="Times New Roman" w:hAnsi="Verdana" w:cs="Calibri"/>
          <w:color w:val="000000"/>
          <w:kern w:val="28"/>
          <w:lang w:eastAsia="en-GB"/>
          <w14:cntxtAlts/>
        </w:rPr>
      </w:pPr>
      <w:r w:rsidRPr="007E41FC">
        <w:rPr>
          <w:rFonts w:ascii="Verdana" w:eastAsia="Times New Roman" w:hAnsi="Verdana" w:cs="Calibri"/>
          <w:color w:val="000000"/>
          <w:kern w:val="28"/>
          <w:lang w:eastAsia="en-GB"/>
          <w14:cntxtAlts/>
        </w:rPr>
        <w:t xml:space="preserve">The difference in the mean hourly </w:t>
      </w:r>
      <w:proofErr w:type="gramStart"/>
      <w:r w:rsidRPr="007E41FC">
        <w:rPr>
          <w:rFonts w:ascii="Verdana" w:eastAsia="Times New Roman" w:hAnsi="Verdana" w:cs="Calibri"/>
          <w:color w:val="000000"/>
          <w:kern w:val="28"/>
          <w:lang w:eastAsia="en-GB"/>
          <w14:cntxtAlts/>
        </w:rPr>
        <w:t>pay</w:t>
      </w:r>
      <w:proofErr w:type="gramEnd"/>
      <w:r w:rsidRPr="007E41FC">
        <w:rPr>
          <w:rFonts w:ascii="Verdana" w:eastAsia="Times New Roman" w:hAnsi="Verdana" w:cs="Calibri"/>
          <w:color w:val="000000"/>
          <w:kern w:val="28"/>
          <w:lang w:eastAsia="en-GB"/>
          <w14:cntxtAlts/>
        </w:rPr>
        <w:t xml:space="preserve"> between male and female relevant employees as a percentage of male pay </w:t>
      </w:r>
    </w:p>
    <w:p w14:paraId="4CC55E42" w14:textId="77777777" w:rsidR="007E41FC" w:rsidRPr="007E41FC" w:rsidRDefault="007E41FC" w:rsidP="00BB3BC5">
      <w:pPr>
        <w:pStyle w:val="ListParagraph"/>
        <w:widowControl w:val="0"/>
        <w:numPr>
          <w:ilvl w:val="0"/>
          <w:numId w:val="2"/>
        </w:numPr>
        <w:spacing w:after="120" w:line="285" w:lineRule="auto"/>
        <w:rPr>
          <w:rFonts w:ascii="Verdana" w:eastAsia="Times New Roman" w:hAnsi="Verdana" w:cs="Calibri"/>
          <w:color w:val="000000"/>
          <w:kern w:val="28"/>
          <w:lang w:eastAsia="en-GB"/>
          <w14:cntxtAlts/>
        </w:rPr>
      </w:pPr>
      <w:r w:rsidRPr="007E41FC">
        <w:rPr>
          <w:rFonts w:ascii="Verdana" w:eastAsia="Times New Roman" w:hAnsi="Verdana" w:cs="Calibri"/>
          <w:color w:val="000000"/>
          <w:kern w:val="28"/>
          <w:lang w:eastAsia="en-GB"/>
          <w14:cntxtAlts/>
        </w:rPr>
        <w:lastRenderedPageBreak/>
        <w:t xml:space="preserve">The difference in the median hourly pay between male and female relevant employees as a percentage of male pay </w:t>
      </w:r>
    </w:p>
    <w:p w14:paraId="4ABDD834" w14:textId="77777777" w:rsidR="007E41FC" w:rsidRPr="007E41FC" w:rsidRDefault="007E41FC" w:rsidP="00BB3BC5">
      <w:pPr>
        <w:pStyle w:val="ListParagraph"/>
        <w:widowControl w:val="0"/>
        <w:numPr>
          <w:ilvl w:val="0"/>
          <w:numId w:val="2"/>
        </w:numPr>
        <w:spacing w:after="120" w:line="285" w:lineRule="auto"/>
        <w:rPr>
          <w:rFonts w:ascii="Verdana" w:eastAsia="Times New Roman" w:hAnsi="Verdana" w:cs="Calibri"/>
          <w:color w:val="000000"/>
          <w:kern w:val="28"/>
          <w:lang w:eastAsia="en-GB"/>
          <w14:cntxtAlts/>
        </w:rPr>
      </w:pPr>
      <w:r w:rsidRPr="007E41FC">
        <w:rPr>
          <w:rFonts w:ascii="Verdana" w:eastAsia="Times New Roman" w:hAnsi="Verdana" w:cs="Calibri"/>
          <w:color w:val="000000"/>
          <w:kern w:val="28"/>
          <w:lang w:eastAsia="en-GB"/>
          <w14:cntxtAlts/>
        </w:rPr>
        <w:t>The proportion of male and female full-pay relevant employees in the lower, lower middle, upper middl</w:t>
      </w:r>
      <w:r w:rsidR="00F22997">
        <w:rPr>
          <w:rFonts w:ascii="Verdana" w:eastAsia="Times New Roman" w:hAnsi="Verdana" w:cs="Calibri"/>
          <w:color w:val="000000"/>
          <w:kern w:val="28"/>
          <w:lang w:eastAsia="en-GB"/>
          <w14:cntxtAlts/>
        </w:rPr>
        <w:t xml:space="preserve">e and upper quartile pay bands </w:t>
      </w:r>
    </w:p>
    <w:p w14:paraId="701C0EA4" w14:textId="77777777" w:rsidR="007E41FC" w:rsidRPr="007E41FC" w:rsidRDefault="007E41FC" w:rsidP="00BB3BC5">
      <w:pPr>
        <w:pStyle w:val="ListParagraph"/>
        <w:widowControl w:val="0"/>
        <w:numPr>
          <w:ilvl w:val="0"/>
          <w:numId w:val="2"/>
        </w:numPr>
        <w:spacing w:after="120" w:line="285" w:lineRule="auto"/>
        <w:rPr>
          <w:rFonts w:ascii="Verdana" w:eastAsia="Times New Roman" w:hAnsi="Verdana" w:cs="Calibri"/>
          <w:color w:val="000000"/>
          <w:kern w:val="28"/>
          <w:lang w:eastAsia="en-GB"/>
          <w14:cntxtAlts/>
        </w:rPr>
      </w:pPr>
      <w:r w:rsidRPr="007E41FC">
        <w:rPr>
          <w:rFonts w:ascii="Verdana" w:eastAsia="Times New Roman" w:hAnsi="Verdana" w:cs="Calibri"/>
          <w:color w:val="000000"/>
          <w:kern w:val="28"/>
          <w:lang w:eastAsia="en-GB"/>
          <w14:cntxtAlts/>
        </w:rPr>
        <w:t>Ordinary pay does not include overtime, expenses, benefits in kind, arrears of pay, salary sacrifice schemes (such as childcare), tax credits or redundancy pay.</w:t>
      </w:r>
    </w:p>
    <w:p w14:paraId="7F6A9BEA" w14:textId="77777777" w:rsidR="007E41FC" w:rsidRPr="00ED512B" w:rsidRDefault="00ED512B" w:rsidP="00ED512B">
      <w:pPr>
        <w:widowControl w:val="0"/>
        <w:spacing w:after="0" w:line="285" w:lineRule="auto"/>
        <w:rPr>
          <w:rFonts w:ascii="Verdana" w:eastAsia="Times New Roman" w:hAnsi="Verdana" w:cs="Calibri"/>
          <w:color w:val="000000"/>
          <w:kern w:val="28"/>
          <w:lang w:eastAsia="en-GB"/>
          <w14:cntxtAlts/>
        </w:rPr>
      </w:pPr>
      <w:r w:rsidRPr="00ED512B">
        <w:rPr>
          <w:rFonts w:ascii="Verdana" w:eastAsia="Times New Roman" w:hAnsi="Verdana" w:cs="Calibri"/>
          <w:color w:val="000000"/>
          <w:kern w:val="28"/>
          <w:lang w:eastAsia="en-GB"/>
          <w14:cntxtAlts/>
        </w:rPr>
        <w:t xml:space="preserve">Ordinary pay, expressed as hourly pay, is used to calculate the mean and median gender pay gaps and the pay period informs the calculation for ordinary pay. For those employees who do not work a consistent working pattern, </w:t>
      </w:r>
      <w:proofErr w:type="gramStart"/>
      <w:r w:rsidRPr="00ED512B">
        <w:rPr>
          <w:rFonts w:ascii="Verdana" w:eastAsia="Times New Roman" w:hAnsi="Verdana" w:cs="Calibri"/>
          <w:color w:val="000000"/>
          <w:kern w:val="28"/>
          <w:lang w:eastAsia="en-GB"/>
          <w14:cntxtAlts/>
        </w:rPr>
        <w:t>e.g.</w:t>
      </w:r>
      <w:proofErr w:type="gramEnd"/>
      <w:r w:rsidRPr="00ED512B">
        <w:rPr>
          <w:rFonts w:ascii="Verdana" w:eastAsia="Times New Roman" w:hAnsi="Verdana" w:cs="Calibri"/>
          <w:color w:val="000000"/>
          <w:kern w:val="28"/>
          <w:lang w:eastAsia="en-GB"/>
          <w14:cntxtAlts/>
        </w:rPr>
        <w:t xml:space="preserve"> 37-hour week, our calculation has been averaged over a 12-week period as per </w:t>
      </w:r>
      <w:r w:rsidR="00586340">
        <w:rPr>
          <w:rFonts w:ascii="Verdana" w:eastAsia="Times New Roman" w:hAnsi="Verdana" w:cs="Calibri"/>
          <w:color w:val="000000"/>
          <w:kern w:val="28"/>
          <w:lang w:eastAsia="en-GB"/>
          <w14:cntxtAlts/>
        </w:rPr>
        <w:t xml:space="preserve">Local Government Association, </w:t>
      </w:r>
      <w:r w:rsidRPr="00ED512B">
        <w:rPr>
          <w:rFonts w:ascii="Verdana" w:eastAsia="Times New Roman" w:hAnsi="Verdana" w:cs="Calibri"/>
          <w:color w:val="000000"/>
          <w:kern w:val="28"/>
          <w:lang w:eastAsia="en-GB"/>
          <w14:cntxtAlts/>
        </w:rPr>
        <w:t>ACAS and Government Equalities Office guidance.</w:t>
      </w:r>
    </w:p>
    <w:p w14:paraId="0347BCF4" w14:textId="77777777" w:rsidR="007E41FC" w:rsidRPr="007E41FC" w:rsidRDefault="007E41FC" w:rsidP="00002ABB">
      <w:pPr>
        <w:widowControl w:val="0"/>
        <w:spacing w:before="240" w:after="120" w:line="285" w:lineRule="auto"/>
        <w:rPr>
          <w:rFonts w:ascii="Verdana" w:eastAsia="Times New Roman" w:hAnsi="Verdana" w:cs="Calibri"/>
          <w:color w:val="000000"/>
          <w:kern w:val="28"/>
          <w:lang w:eastAsia="en-GB"/>
          <w14:cntxtAlts/>
        </w:rPr>
      </w:pPr>
      <w:r w:rsidRPr="007E41FC">
        <w:rPr>
          <w:rFonts w:ascii="Verdana" w:eastAsia="Times New Roman" w:hAnsi="Verdana" w:cs="Calibri"/>
          <w:b/>
          <w:color w:val="000000"/>
          <w:kern w:val="28"/>
          <w:lang w:eastAsia="en-GB"/>
          <w14:cntxtAlts/>
        </w:rPr>
        <w:t xml:space="preserve">Bonus: </w:t>
      </w:r>
      <w:r w:rsidRPr="007E41FC">
        <w:rPr>
          <w:rFonts w:ascii="Verdana" w:eastAsia="Times New Roman" w:hAnsi="Verdana" w:cs="Calibri"/>
          <w:color w:val="000000"/>
          <w:kern w:val="28"/>
          <w:lang w:eastAsia="en-GB"/>
          <w14:cntxtAlts/>
        </w:rPr>
        <w:t xml:space="preserve">Bonuses paid to full-pay relevant employees in the </w:t>
      </w:r>
      <w:r w:rsidR="000354B6" w:rsidRPr="007E41FC">
        <w:rPr>
          <w:rFonts w:ascii="Verdana" w:eastAsia="Times New Roman" w:hAnsi="Verdana" w:cs="Calibri"/>
          <w:color w:val="000000"/>
          <w:kern w:val="28"/>
          <w:lang w:eastAsia="en-GB"/>
          <w14:cntxtAlts/>
        </w:rPr>
        <w:t>12-month</w:t>
      </w:r>
      <w:r w:rsidRPr="007E41FC">
        <w:rPr>
          <w:rFonts w:ascii="Verdana" w:eastAsia="Times New Roman" w:hAnsi="Verdana" w:cs="Calibri"/>
          <w:color w:val="000000"/>
          <w:kern w:val="28"/>
          <w:lang w:eastAsia="en-GB"/>
          <w14:cntxtAlts/>
        </w:rPr>
        <w:t xml:space="preserve"> period ending on the snapshot date (31 March). </w:t>
      </w:r>
      <w:r w:rsidR="000354B6">
        <w:rPr>
          <w:rFonts w:ascii="Verdana" w:eastAsia="Times New Roman" w:hAnsi="Verdana" w:cs="Calibri"/>
          <w:color w:val="000000"/>
          <w:kern w:val="28"/>
          <w:lang w:eastAsia="en-GB"/>
          <w14:cntxtAlts/>
        </w:rPr>
        <w:t xml:space="preserve">Year on year bonuses will vary and a small movement could have a big impact on the data. </w:t>
      </w:r>
      <w:r w:rsidRPr="007E41FC">
        <w:rPr>
          <w:rFonts w:ascii="Verdana" w:eastAsia="Times New Roman" w:hAnsi="Verdana" w:cs="Calibri"/>
          <w:color w:val="000000"/>
          <w:kern w:val="28"/>
          <w:lang w:eastAsia="en-GB"/>
          <w14:cntxtAlts/>
        </w:rPr>
        <w:t>This data examines:</w:t>
      </w:r>
    </w:p>
    <w:p w14:paraId="72288AA5" w14:textId="77777777" w:rsidR="007E41FC" w:rsidRPr="00FD28FB" w:rsidRDefault="007E41FC" w:rsidP="00FD28FB">
      <w:pPr>
        <w:pStyle w:val="ListParagraph"/>
        <w:widowControl w:val="0"/>
        <w:numPr>
          <w:ilvl w:val="0"/>
          <w:numId w:val="4"/>
        </w:numPr>
        <w:spacing w:after="120" w:line="285" w:lineRule="auto"/>
        <w:rPr>
          <w:rFonts w:ascii="Verdana" w:eastAsia="Times New Roman" w:hAnsi="Verdana" w:cs="Calibri"/>
          <w:color w:val="000000"/>
          <w:kern w:val="28"/>
          <w:lang w:eastAsia="en-GB"/>
          <w14:cntxtAlts/>
        </w:rPr>
      </w:pPr>
      <w:r w:rsidRPr="00FD28FB">
        <w:rPr>
          <w:rFonts w:ascii="Verdana" w:eastAsia="Times New Roman" w:hAnsi="Verdana" w:cs="Calibri"/>
          <w:color w:val="000000"/>
          <w:kern w:val="28"/>
          <w:lang w:eastAsia="en-GB"/>
          <w14:cntxtAlts/>
        </w:rPr>
        <w:t xml:space="preserve">The difference in the mean bonus </w:t>
      </w:r>
      <w:proofErr w:type="gramStart"/>
      <w:r w:rsidRPr="00FD28FB">
        <w:rPr>
          <w:rFonts w:ascii="Verdana" w:eastAsia="Times New Roman" w:hAnsi="Verdana" w:cs="Calibri"/>
          <w:color w:val="000000"/>
          <w:kern w:val="28"/>
          <w:lang w:eastAsia="en-GB"/>
          <w14:cntxtAlts/>
        </w:rPr>
        <w:t>pay</w:t>
      </w:r>
      <w:proofErr w:type="gramEnd"/>
      <w:r w:rsidRPr="00FD28FB">
        <w:rPr>
          <w:rFonts w:ascii="Verdana" w:eastAsia="Times New Roman" w:hAnsi="Verdana" w:cs="Calibri"/>
          <w:color w:val="000000"/>
          <w:kern w:val="28"/>
          <w:lang w:eastAsia="en-GB"/>
          <w14:cntxtAlts/>
        </w:rPr>
        <w:t xml:space="preserve"> paid to male relevant employees and that paid to female relevant employees in the 12</w:t>
      </w:r>
      <w:r w:rsidR="002D6119">
        <w:rPr>
          <w:rFonts w:ascii="Verdana" w:eastAsia="Times New Roman" w:hAnsi="Verdana" w:cs="Calibri"/>
          <w:color w:val="000000"/>
          <w:kern w:val="28"/>
          <w:lang w:eastAsia="en-GB"/>
          <w14:cntxtAlts/>
        </w:rPr>
        <w:t>-</w:t>
      </w:r>
      <w:r w:rsidRPr="00FD28FB">
        <w:rPr>
          <w:rFonts w:ascii="Verdana" w:eastAsia="Times New Roman" w:hAnsi="Verdana" w:cs="Calibri"/>
          <w:color w:val="000000"/>
          <w:kern w:val="28"/>
          <w:lang w:eastAsia="en-GB"/>
          <w14:cntxtAlts/>
        </w:rPr>
        <w:t xml:space="preserve">months before the snapshot date </w:t>
      </w:r>
    </w:p>
    <w:p w14:paraId="185BCA04" w14:textId="77777777" w:rsidR="007E41FC" w:rsidRPr="00FD28FB" w:rsidRDefault="007E41FC" w:rsidP="00FD28FB">
      <w:pPr>
        <w:pStyle w:val="ListParagraph"/>
        <w:widowControl w:val="0"/>
        <w:numPr>
          <w:ilvl w:val="0"/>
          <w:numId w:val="4"/>
        </w:numPr>
        <w:spacing w:after="120" w:line="285" w:lineRule="auto"/>
        <w:rPr>
          <w:rFonts w:ascii="Verdana" w:eastAsia="Times New Roman" w:hAnsi="Verdana" w:cs="Calibri"/>
          <w:color w:val="000000"/>
          <w:kern w:val="28"/>
          <w:lang w:eastAsia="en-GB"/>
          <w14:cntxtAlts/>
        </w:rPr>
      </w:pPr>
      <w:r w:rsidRPr="00FD28FB">
        <w:rPr>
          <w:rFonts w:ascii="Verdana" w:eastAsia="Times New Roman" w:hAnsi="Verdana" w:cs="Calibri"/>
          <w:color w:val="000000"/>
          <w:kern w:val="28"/>
          <w:lang w:eastAsia="en-GB"/>
          <w14:cntxtAlts/>
        </w:rPr>
        <w:t xml:space="preserve">The difference in the median bonus </w:t>
      </w:r>
      <w:proofErr w:type="gramStart"/>
      <w:r w:rsidRPr="00FD28FB">
        <w:rPr>
          <w:rFonts w:ascii="Verdana" w:eastAsia="Times New Roman" w:hAnsi="Verdana" w:cs="Calibri"/>
          <w:color w:val="000000"/>
          <w:kern w:val="28"/>
          <w:lang w:eastAsia="en-GB"/>
          <w14:cntxtAlts/>
        </w:rPr>
        <w:t>pay</w:t>
      </w:r>
      <w:proofErr w:type="gramEnd"/>
      <w:r w:rsidRPr="00FD28FB">
        <w:rPr>
          <w:rFonts w:ascii="Verdana" w:eastAsia="Times New Roman" w:hAnsi="Verdana" w:cs="Calibri"/>
          <w:color w:val="000000"/>
          <w:kern w:val="28"/>
          <w:lang w:eastAsia="en-GB"/>
          <w14:cntxtAlts/>
        </w:rPr>
        <w:t xml:space="preserve"> paid to male relevant employees and that paid to female relevant employees in the 12</w:t>
      </w:r>
      <w:r w:rsidR="002D6119">
        <w:rPr>
          <w:rFonts w:ascii="Verdana" w:eastAsia="Times New Roman" w:hAnsi="Verdana" w:cs="Calibri"/>
          <w:color w:val="000000"/>
          <w:kern w:val="28"/>
          <w:lang w:eastAsia="en-GB"/>
          <w14:cntxtAlts/>
        </w:rPr>
        <w:t>-</w:t>
      </w:r>
      <w:r w:rsidRPr="00FD28FB">
        <w:rPr>
          <w:rFonts w:ascii="Verdana" w:eastAsia="Times New Roman" w:hAnsi="Verdana" w:cs="Calibri"/>
          <w:color w:val="000000"/>
          <w:kern w:val="28"/>
          <w:lang w:eastAsia="en-GB"/>
          <w14:cntxtAlts/>
        </w:rPr>
        <w:t xml:space="preserve">months before the snapshot date </w:t>
      </w:r>
    </w:p>
    <w:p w14:paraId="62C19BAF" w14:textId="23452CEA" w:rsidR="00547765" w:rsidRPr="003514F3" w:rsidRDefault="007E41FC" w:rsidP="005C10D9">
      <w:pPr>
        <w:pStyle w:val="ListParagraph"/>
        <w:widowControl w:val="0"/>
        <w:numPr>
          <w:ilvl w:val="0"/>
          <w:numId w:val="4"/>
        </w:numPr>
        <w:spacing w:after="0" w:line="285" w:lineRule="auto"/>
        <w:rPr>
          <w:rFonts w:ascii="Verdana" w:eastAsia="Times New Roman" w:hAnsi="Verdana" w:cs="Calibri"/>
          <w:b/>
          <w:color w:val="000000"/>
          <w:kern w:val="28"/>
          <w:sz w:val="24"/>
          <w:szCs w:val="24"/>
          <w:lang w:eastAsia="en-GB"/>
          <w14:cntxtAlts/>
        </w:rPr>
      </w:pPr>
      <w:r w:rsidRPr="003514F3">
        <w:rPr>
          <w:rFonts w:ascii="Verdana" w:eastAsia="Times New Roman" w:hAnsi="Verdana" w:cs="Calibri"/>
          <w:color w:val="000000"/>
          <w:kern w:val="28"/>
          <w:lang w:eastAsia="en-GB"/>
          <w14:cntxtAlts/>
        </w:rPr>
        <w:t>The proportion of male relevant employees who were paid bonus pay and that paid to female relevant employees in the 12</w:t>
      </w:r>
      <w:r w:rsidR="002D6119" w:rsidRPr="003514F3">
        <w:rPr>
          <w:rFonts w:ascii="Verdana" w:eastAsia="Times New Roman" w:hAnsi="Verdana" w:cs="Calibri"/>
          <w:color w:val="000000"/>
          <w:kern w:val="28"/>
          <w:lang w:eastAsia="en-GB"/>
          <w14:cntxtAlts/>
        </w:rPr>
        <w:t>-</w:t>
      </w:r>
      <w:r w:rsidRPr="003514F3">
        <w:rPr>
          <w:rFonts w:ascii="Verdana" w:eastAsia="Times New Roman" w:hAnsi="Verdana" w:cs="Calibri"/>
          <w:color w:val="000000"/>
          <w:kern w:val="28"/>
          <w:lang w:eastAsia="en-GB"/>
          <w14:cntxtAlts/>
        </w:rPr>
        <w:t xml:space="preserve">months before the snapshot date </w:t>
      </w:r>
      <w:r w:rsidR="00547765" w:rsidRPr="003514F3">
        <w:rPr>
          <w:rFonts w:ascii="Verdana" w:eastAsia="Times New Roman" w:hAnsi="Verdana" w:cs="Calibri"/>
          <w:b/>
          <w:color w:val="000000"/>
          <w:kern w:val="28"/>
          <w:sz w:val="24"/>
          <w:szCs w:val="24"/>
          <w:lang w:eastAsia="en-GB"/>
          <w14:cntxtAlts/>
        </w:rPr>
        <w:br w:type="page"/>
      </w:r>
    </w:p>
    <w:p w14:paraId="387E82DC" w14:textId="42AEBF8E" w:rsidR="007E41FC" w:rsidRPr="00BD360A" w:rsidRDefault="00F22997" w:rsidP="007E41FC">
      <w:pPr>
        <w:widowControl w:val="0"/>
        <w:spacing w:after="120" w:line="285" w:lineRule="auto"/>
        <w:rPr>
          <w:rFonts w:ascii="Verdana" w:eastAsia="Times New Roman" w:hAnsi="Verdana" w:cs="Calibri"/>
          <w:b/>
          <w:color w:val="000000"/>
          <w:kern w:val="28"/>
          <w:sz w:val="24"/>
          <w:szCs w:val="24"/>
          <w:lang w:eastAsia="en-GB"/>
          <w14:cntxtAlts/>
        </w:rPr>
      </w:pPr>
      <w:r w:rsidRPr="00BD360A">
        <w:rPr>
          <w:rFonts w:ascii="Verdana" w:eastAsia="Times New Roman" w:hAnsi="Verdana" w:cs="Calibri"/>
          <w:b/>
          <w:color w:val="000000"/>
          <w:kern w:val="28"/>
          <w:sz w:val="24"/>
          <w:szCs w:val="24"/>
          <w:lang w:eastAsia="en-GB"/>
          <w14:cntxtAlts/>
        </w:rPr>
        <w:lastRenderedPageBreak/>
        <w:t xml:space="preserve">Reportable data </w:t>
      </w:r>
    </w:p>
    <w:p w14:paraId="686EF62E" w14:textId="77777777" w:rsidR="007E41FC" w:rsidRPr="00A52223" w:rsidRDefault="007E41FC" w:rsidP="009B29F3">
      <w:pPr>
        <w:widowControl w:val="0"/>
        <w:spacing w:after="0"/>
        <w:rPr>
          <w:rFonts w:ascii="Verdana" w:eastAsia="Times New Roman" w:hAnsi="Verdana" w:cs="Calibri"/>
          <w:color w:val="000000"/>
          <w:kern w:val="28"/>
          <w:lang w:eastAsia="en-GB"/>
          <w14:cntxtAlts/>
        </w:rPr>
      </w:pPr>
      <w:r w:rsidRPr="00A52223">
        <w:rPr>
          <w:rFonts w:ascii="Verdana" w:eastAsia="Times New Roman" w:hAnsi="Verdana" w:cs="Calibri"/>
          <w:color w:val="000000"/>
          <w:kern w:val="28"/>
          <w:lang w:eastAsia="en-GB"/>
          <w14:cntxtAlts/>
        </w:rPr>
        <w:t xml:space="preserve">In accordance with the Regulations, the </w:t>
      </w:r>
      <w:r w:rsidR="002D3607">
        <w:rPr>
          <w:rFonts w:ascii="Verdana" w:eastAsia="Times New Roman" w:hAnsi="Verdana" w:cs="Calibri"/>
          <w:color w:val="000000"/>
          <w:kern w:val="28"/>
          <w:lang w:eastAsia="en-GB"/>
          <w14:cntxtAlts/>
        </w:rPr>
        <w:t xml:space="preserve">Service </w:t>
      </w:r>
      <w:r w:rsidRPr="00A52223">
        <w:rPr>
          <w:rFonts w:ascii="Verdana" w:eastAsia="Times New Roman" w:hAnsi="Verdana" w:cs="Calibri"/>
          <w:color w:val="000000"/>
          <w:kern w:val="28"/>
          <w:lang w:eastAsia="en-GB"/>
          <w14:cntxtAlts/>
        </w:rPr>
        <w:t>is required to annually publish six pieces of prescribed data about the pay and bonuses of males and females</w:t>
      </w:r>
      <w:r w:rsidR="00AA507E">
        <w:rPr>
          <w:rFonts w:ascii="Verdana" w:eastAsia="Times New Roman" w:hAnsi="Verdana" w:cs="Calibri"/>
          <w:color w:val="000000"/>
          <w:kern w:val="28"/>
          <w:lang w:eastAsia="en-GB"/>
          <w14:cntxtAlts/>
        </w:rPr>
        <w:t xml:space="preserve"> employed by the Service:</w:t>
      </w:r>
      <w:r w:rsidRPr="00A52223">
        <w:rPr>
          <w:rFonts w:ascii="Verdana" w:eastAsia="Times New Roman" w:hAnsi="Verdana" w:cs="Calibri"/>
          <w:color w:val="000000"/>
          <w:kern w:val="28"/>
          <w:lang w:eastAsia="en-GB"/>
          <w14:cntxtAlts/>
        </w:rPr>
        <w:t xml:space="preserve"> </w:t>
      </w:r>
    </w:p>
    <w:p w14:paraId="03E72EC3" w14:textId="77777777" w:rsidR="00186B72" w:rsidRDefault="00186B72" w:rsidP="00186B72">
      <w:pPr>
        <w:widowControl w:val="0"/>
        <w:spacing w:after="0"/>
        <w:rPr>
          <w:rFonts w:ascii="Verdana" w:eastAsia="Times New Roman" w:hAnsi="Verdana" w:cs="Calibri"/>
          <w:b/>
          <w:bCs/>
          <w:color w:val="000000"/>
          <w:kern w:val="28"/>
          <w:lang w:eastAsia="en-GB"/>
          <w14:cntxtAlts/>
        </w:rPr>
      </w:pPr>
    </w:p>
    <w:p w14:paraId="56F99F78" w14:textId="77777777" w:rsidR="007E41FC" w:rsidRPr="00A52223" w:rsidRDefault="007E41FC" w:rsidP="00A52223">
      <w:pPr>
        <w:widowControl w:val="0"/>
        <w:spacing w:after="120"/>
        <w:rPr>
          <w:rFonts w:ascii="Verdana" w:eastAsia="Times New Roman" w:hAnsi="Verdana" w:cs="Calibri"/>
          <w:color w:val="000000"/>
          <w:kern w:val="28"/>
          <w:lang w:eastAsia="en-GB"/>
          <w14:cntxtAlts/>
        </w:rPr>
      </w:pPr>
      <w:r w:rsidRPr="005F775F">
        <w:rPr>
          <w:rFonts w:ascii="Verdana" w:eastAsia="Times New Roman" w:hAnsi="Verdana" w:cs="Calibri"/>
          <w:b/>
          <w:bCs/>
          <w:color w:val="000000"/>
          <w:kern w:val="28"/>
          <w:lang w:eastAsia="en-GB"/>
          <w14:cntxtAlts/>
        </w:rPr>
        <w:t>1. Mean hourly gender pay gap</w:t>
      </w:r>
      <w:r w:rsidRPr="00A52223">
        <w:rPr>
          <w:rFonts w:ascii="Verdana" w:eastAsia="Times New Roman" w:hAnsi="Verdana" w:cs="Calibri"/>
          <w:b/>
          <w:bCs/>
          <w:color w:val="000000"/>
          <w:kern w:val="28"/>
          <w:lang w:eastAsia="en-GB"/>
          <w14:cntxtAlts/>
        </w:rPr>
        <w:t xml:space="preserve"> </w:t>
      </w:r>
    </w:p>
    <w:p w14:paraId="41679403" w14:textId="77777777" w:rsidR="007E41FC" w:rsidRDefault="007E41FC" w:rsidP="00A52223">
      <w:pPr>
        <w:widowControl w:val="0"/>
        <w:spacing w:after="120"/>
        <w:rPr>
          <w:rFonts w:ascii="Verdana" w:eastAsia="Times New Roman" w:hAnsi="Verdana" w:cs="Calibri"/>
          <w:color w:val="000000"/>
          <w:kern w:val="28"/>
          <w:lang w:eastAsia="en-GB"/>
          <w14:cntxtAlts/>
        </w:rPr>
      </w:pPr>
      <w:r w:rsidRPr="00A52223">
        <w:rPr>
          <w:rFonts w:ascii="Verdana" w:eastAsia="Times New Roman" w:hAnsi="Verdana" w:cs="Calibri"/>
          <w:color w:val="000000"/>
          <w:kern w:val="28"/>
          <w:lang w:eastAsia="en-GB"/>
          <w14:cntxtAlts/>
        </w:rPr>
        <w:t>The difference between the mean hourly rate of pay for male and female full-pay relevant employees</w:t>
      </w:r>
      <w:r w:rsidR="00A52223">
        <w:rPr>
          <w:rFonts w:ascii="Verdana" w:eastAsia="Times New Roman" w:hAnsi="Verdana" w:cs="Calibri"/>
          <w:color w:val="000000"/>
          <w:kern w:val="28"/>
          <w:lang w:eastAsia="en-GB"/>
          <w14:cntxtAlts/>
        </w:rPr>
        <w:t>, as a percentage</w:t>
      </w:r>
      <w:r w:rsidR="00474F1F">
        <w:rPr>
          <w:rFonts w:ascii="Verdana" w:eastAsia="Times New Roman" w:hAnsi="Verdana" w:cs="Calibri"/>
          <w:color w:val="000000"/>
          <w:kern w:val="28"/>
          <w:lang w:eastAsia="en-GB"/>
          <w14:cntxtAlts/>
        </w:rPr>
        <w:t>.</w:t>
      </w:r>
    </w:p>
    <w:p w14:paraId="76A9F52B" w14:textId="4228B71E" w:rsidR="00F74631" w:rsidRDefault="006308FC" w:rsidP="003514F3">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 xml:space="preserve">The mean gap provides an overall indication of the size of the gap. A high mean indicates that the remuneration structure disadvantages female. </w:t>
      </w:r>
    </w:p>
    <w:p w14:paraId="275104FD" w14:textId="0A304A72" w:rsidR="00950888" w:rsidRPr="00473FFC" w:rsidRDefault="00950888" w:rsidP="00586340">
      <w:pPr>
        <w:widowControl w:val="0"/>
        <w:spacing w:after="0"/>
        <w:rPr>
          <w:rFonts w:ascii="Verdana" w:eastAsia="Times New Roman" w:hAnsi="Verdana" w:cs="Calibri"/>
          <w:kern w:val="28"/>
          <w:lang w:eastAsia="en-GB"/>
          <w14:cntxtAlts/>
        </w:rPr>
      </w:pPr>
      <w:r w:rsidRPr="00BE2D2C">
        <w:rPr>
          <w:rFonts w:ascii="Verdana" w:eastAsia="Times New Roman" w:hAnsi="Verdana" w:cs="Calibri"/>
          <w:kern w:val="28"/>
          <w:lang w:eastAsia="en-GB"/>
          <w14:cntxtAlts/>
        </w:rPr>
        <w:t>The mean (average) gender pay gap for 202</w:t>
      </w:r>
      <w:r w:rsidR="00944443">
        <w:rPr>
          <w:rFonts w:ascii="Verdana" w:eastAsia="Times New Roman" w:hAnsi="Verdana" w:cs="Calibri"/>
          <w:kern w:val="28"/>
          <w:lang w:eastAsia="en-GB"/>
          <w14:cntxtAlts/>
        </w:rPr>
        <w:t>2</w:t>
      </w:r>
      <w:r w:rsidRPr="00BE2D2C">
        <w:rPr>
          <w:rFonts w:ascii="Verdana" w:eastAsia="Times New Roman" w:hAnsi="Verdana" w:cs="Calibri"/>
          <w:kern w:val="28"/>
          <w:lang w:eastAsia="en-GB"/>
          <w14:cntxtAlts/>
        </w:rPr>
        <w:t xml:space="preserve"> is 13.</w:t>
      </w:r>
      <w:r w:rsidR="00944443">
        <w:rPr>
          <w:rFonts w:ascii="Verdana" w:eastAsia="Times New Roman" w:hAnsi="Verdana" w:cs="Calibri"/>
          <w:kern w:val="28"/>
          <w:lang w:eastAsia="en-GB"/>
          <w14:cntxtAlts/>
        </w:rPr>
        <w:t>4</w:t>
      </w:r>
      <w:r w:rsidRPr="00BE2D2C">
        <w:rPr>
          <w:rFonts w:ascii="Verdana" w:eastAsia="Times New Roman" w:hAnsi="Verdana" w:cs="Calibri"/>
          <w:kern w:val="28"/>
          <w:lang w:eastAsia="en-GB"/>
          <w14:cntxtAlts/>
        </w:rPr>
        <w:t xml:space="preserve"> per </w:t>
      </w:r>
      <w:r w:rsidRPr="00473FFC">
        <w:rPr>
          <w:rFonts w:ascii="Verdana" w:eastAsia="Times New Roman" w:hAnsi="Verdana" w:cs="Calibri"/>
          <w:kern w:val="28"/>
          <w:lang w:eastAsia="en-GB"/>
          <w14:cntxtAlts/>
        </w:rPr>
        <w:t>cent</w:t>
      </w:r>
      <w:r w:rsidR="00720F73" w:rsidRPr="00473FFC">
        <w:rPr>
          <w:rFonts w:ascii="Verdana" w:eastAsia="Times New Roman" w:hAnsi="Verdana" w:cs="Calibri"/>
          <w:kern w:val="28"/>
          <w:lang w:eastAsia="en-GB"/>
          <w14:cntxtAlts/>
        </w:rPr>
        <w:t xml:space="preserve">, this is </w:t>
      </w:r>
      <w:r w:rsidR="00944443">
        <w:rPr>
          <w:rFonts w:ascii="Verdana" w:eastAsia="Times New Roman" w:hAnsi="Verdana" w:cs="Calibri"/>
          <w:kern w:val="28"/>
          <w:lang w:eastAsia="en-GB"/>
          <w14:cntxtAlts/>
        </w:rPr>
        <w:t>0.4</w:t>
      </w:r>
      <w:r w:rsidR="00720F73" w:rsidRPr="00473FFC">
        <w:rPr>
          <w:rFonts w:ascii="Verdana" w:eastAsia="Times New Roman" w:hAnsi="Verdana" w:cs="Calibri"/>
          <w:kern w:val="28"/>
          <w:lang w:eastAsia="en-GB"/>
          <w14:cntxtAlts/>
        </w:rPr>
        <w:t xml:space="preserve"> percentage points lower than 202</w:t>
      </w:r>
      <w:r w:rsidR="000E2966">
        <w:rPr>
          <w:rFonts w:ascii="Verdana" w:eastAsia="Times New Roman" w:hAnsi="Verdana" w:cs="Calibri"/>
          <w:kern w:val="28"/>
          <w:lang w:eastAsia="en-GB"/>
          <w14:cntxtAlts/>
        </w:rPr>
        <w:t>1</w:t>
      </w:r>
      <w:r w:rsidRPr="00473FFC">
        <w:rPr>
          <w:rFonts w:ascii="Verdana" w:eastAsia="Times New Roman" w:hAnsi="Verdana" w:cs="Calibri"/>
          <w:kern w:val="28"/>
          <w:lang w:eastAsia="en-GB"/>
          <w14:cntxtAlts/>
        </w:rPr>
        <w:t xml:space="preserve">. Male hourly pay has </w:t>
      </w:r>
      <w:r w:rsidR="005F775F">
        <w:rPr>
          <w:rFonts w:ascii="Verdana" w:eastAsia="Times New Roman" w:hAnsi="Verdana" w:cs="Calibri"/>
          <w:kern w:val="28"/>
          <w:lang w:eastAsia="en-GB"/>
          <w14:cntxtAlts/>
        </w:rPr>
        <w:t>inc</w:t>
      </w:r>
      <w:r w:rsidRPr="00473FFC">
        <w:rPr>
          <w:rFonts w:ascii="Verdana" w:eastAsia="Times New Roman" w:hAnsi="Verdana" w:cs="Calibri"/>
          <w:kern w:val="28"/>
          <w:lang w:eastAsia="en-GB"/>
          <w14:cntxtAlts/>
        </w:rPr>
        <w:t xml:space="preserve">reased by </w:t>
      </w:r>
      <w:r w:rsidR="005F775F">
        <w:rPr>
          <w:rFonts w:ascii="Verdana" w:eastAsia="Times New Roman" w:hAnsi="Verdana" w:cs="Calibri"/>
          <w:kern w:val="28"/>
          <w:lang w:eastAsia="en-GB"/>
          <w14:cntxtAlts/>
        </w:rPr>
        <w:t>3.3</w:t>
      </w:r>
      <w:r w:rsidR="002E3E0D" w:rsidRPr="00473FFC">
        <w:rPr>
          <w:rFonts w:ascii="Verdana" w:eastAsia="Times New Roman" w:hAnsi="Verdana" w:cs="Calibri"/>
          <w:kern w:val="28"/>
          <w:lang w:eastAsia="en-GB"/>
          <w14:cntxtAlts/>
        </w:rPr>
        <w:t xml:space="preserve"> percent</w:t>
      </w:r>
      <w:r w:rsidR="00720F73" w:rsidRPr="00473FFC">
        <w:rPr>
          <w:rFonts w:ascii="Verdana" w:eastAsia="Times New Roman" w:hAnsi="Verdana" w:cs="Calibri"/>
          <w:kern w:val="28"/>
          <w:lang w:eastAsia="en-GB"/>
          <w14:cntxtAlts/>
        </w:rPr>
        <w:t>age points</w:t>
      </w:r>
      <w:r w:rsidR="002E3E0D" w:rsidRPr="00473FFC">
        <w:rPr>
          <w:rFonts w:ascii="Verdana" w:eastAsia="Times New Roman" w:hAnsi="Verdana" w:cs="Calibri"/>
          <w:kern w:val="28"/>
          <w:lang w:eastAsia="en-GB"/>
          <w14:cntxtAlts/>
        </w:rPr>
        <w:t xml:space="preserve"> (</w:t>
      </w:r>
      <w:r w:rsidR="005F775F">
        <w:rPr>
          <w:rFonts w:ascii="Verdana" w:eastAsia="Times New Roman" w:hAnsi="Verdana" w:cs="Calibri"/>
          <w:kern w:val="28"/>
          <w:lang w:eastAsia="en-GB"/>
          <w14:cntxtAlts/>
        </w:rPr>
        <w:t>65</w:t>
      </w:r>
      <w:r w:rsidR="002E3E0D" w:rsidRPr="00473FFC">
        <w:rPr>
          <w:rFonts w:ascii="Verdana" w:eastAsia="Times New Roman" w:hAnsi="Verdana" w:cs="Calibri"/>
          <w:kern w:val="28"/>
          <w:lang w:eastAsia="en-GB"/>
          <w14:cntxtAlts/>
        </w:rPr>
        <w:t xml:space="preserve"> pence)</w:t>
      </w:r>
      <w:r w:rsidRPr="00473FFC">
        <w:rPr>
          <w:rFonts w:ascii="Verdana" w:eastAsia="Times New Roman" w:hAnsi="Verdana" w:cs="Calibri"/>
          <w:kern w:val="28"/>
          <w:lang w:eastAsia="en-GB"/>
          <w14:cntxtAlts/>
        </w:rPr>
        <w:t xml:space="preserve"> and female hourly pay has increased by </w:t>
      </w:r>
      <w:r w:rsidR="002E3E0D" w:rsidRPr="00473FFC">
        <w:rPr>
          <w:rFonts w:ascii="Verdana" w:eastAsia="Times New Roman" w:hAnsi="Verdana" w:cs="Calibri"/>
          <w:kern w:val="28"/>
          <w:lang w:eastAsia="en-GB"/>
          <w14:cntxtAlts/>
        </w:rPr>
        <w:t>3.</w:t>
      </w:r>
      <w:r w:rsidR="005F775F">
        <w:rPr>
          <w:rFonts w:ascii="Verdana" w:eastAsia="Times New Roman" w:hAnsi="Verdana" w:cs="Calibri"/>
          <w:kern w:val="28"/>
          <w:lang w:eastAsia="en-GB"/>
          <w14:cntxtAlts/>
        </w:rPr>
        <w:t>8</w:t>
      </w:r>
      <w:r w:rsidR="002E3E0D" w:rsidRPr="00473FFC">
        <w:rPr>
          <w:rFonts w:ascii="Verdana" w:eastAsia="Times New Roman" w:hAnsi="Verdana" w:cs="Calibri"/>
          <w:kern w:val="28"/>
          <w:lang w:eastAsia="en-GB"/>
          <w14:cntxtAlts/>
        </w:rPr>
        <w:t xml:space="preserve"> percent</w:t>
      </w:r>
      <w:r w:rsidR="00720F73" w:rsidRPr="00473FFC">
        <w:rPr>
          <w:rFonts w:ascii="Verdana" w:eastAsia="Times New Roman" w:hAnsi="Verdana" w:cs="Calibri"/>
          <w:kern w:val="28"/>
          <w:lang w:eastAsia="en-GB"/>
          <w14:cntxtAlts/>
        </w:rPr>
        <w:t>age points</w:t>
      </w:r>
      <w:r w:rsidR="002E3E0D" w:rsidRPr="00473FFC">
        <w:rPr>
          <w:rFonts w:ascii="Verdana" w:eastAsia="Times New Roman" w:hAnsi="Verdana" w:cs="Calibri"/>
          <w:kern w:val="28"/>
          <w:lang w:eastAsia="en-GB"/>
          <w14:cntxtAlts/>
        </w:rPr>
        <w:t xml:space="preserve"> (</w:t>
      </w:r>
      <w:r w:rsidR="005F775F">
        <w:rPr>
          <w:rFonts w:ascii="Verdana" w:eastAsia="Times New Roman" w:hAnsi="Verdana" w:cs="Calibri"/>
          <w:kern w:val="28"/>
          <w:lang w:eastAsia="en-GB"/>
          <w14:cntxtAlts/>
        </w:rPr>
        <w:t>63</w:t>
      </w:r>
      <w:r w:rsidRPr="00473FFC">
        <w:rPr>
          <w:rFonts w:ascii="Verdana" w:eastAsia="Times New Roman" w:hAnsi="Verdana" w:cs="Calibri"/>
          <w:kern w:val="28"/>
          <w:lang w:eastAsia="en-GB"/>
          <w14:cntxtAlts/>
        </w:rPr>
        <w:t xml:space="preserve"> pence</w:t>
      </w:r>
      <w:r w:rsidR="002E3E0D" w:rsidRPr="00473FFC">
        <w:rPr>
          <w:rFonts w:ascii="Verdana" w:eastAsia="Times New Roman" w:hAnsi="Verdana" w:cs="Calibri"/>
          <w:kern w:val="28"/>
          <w:lang w:eastAsia="en-GB"/>
          <w14:cntxtAlts/>
        </w:rPr>
        <w:t>)</w:t>
      </w:r>
      <w:r w:rsidRPr="00473FFC">
        <w:rPr>
          <w:rFonts w:ascii="Verdana" w:eastAsia="Times New Roman" w:hAnsi="Verdana" w:cs="Calibri"/>
          <w:kern w:val="28"/>
          <w:lang w:eastAsia="en-GB"/>
          <w14:cntxtAlts/>
        </w:rPr>
        <w:t>.</w:t>
      </w:r>
      <w:r w:rsidR="005F775F">
        <w:rPr>
          <w:rFonts w:ascii="Verdana" w:eastAsia="Times New Roman" w:hAnsi="Verdana" w:cs="Calibri"/>
          <w:kern w:val="28"/>
          <w:lang w:eastAsia="en-GB"/>
          <w14:cntxtAlts/>
        </w:rPr>
        <w:t xml:space="preserve"> Whilst the hourly pay for females has steadily increased since 2018, </w:t>
      </w:r>
      <w:r w:rsidR="002E3E0D" w:rsidRPr="00473FFC">
        <w:rPr>
          <w:rFonts w:ascii="Verdana" w:eastAsia="Times New Roman" w:hAnsi="Verdana" w:cs="Calibri"/>
          <w:kern w:val="28"/>
          <w:lang w:eastAsia="en-GB"/>
          <w14:cntxtAlts/>
        </w:rPr>
        <w:t xml:space="preserve">it is still lower than the hourly rate of pay males have received </w:t>
      </w:r>
      <w:r w:rsidR="006208FF">
        <w:rPr>
          <w:rFonts w:ascii="Verdana" w:eastAsia="Times New Roman" w:hAnsi="Verdana" w:cs="Calibri"/>
          <w:kern w:val="28"/>
          <w:lang w:eastAsia="en-GB"/>
          <w14:cntxtAlts/>
        </w:rPr>
        <w:t>since first reporting</w:t>
      </w:r>
      <w:r w:rsidR="002E3E0D" w:rsidRPr="00473FFC">
        <w:rPr>
          <w:rFonts w:ascii="Verdana" w:eastAsia="Times New Roman" w:hAnsi="Verdana" w:cs="Calibri"/>
          <w:kern w:val="28"/>
          <w:lang w:eastAsia="en-GB"/>
          <w14:cntxtAlts/>
        </w:rPr>
        <w:t xml:space="preserve">. </w:t>
      </w:r>
    </w:p>
    <w:p w14:paraId="4E7D6AA1" w14:textId="77777777" w:rsidR="00697F2A" w:rsidRPr="00473FFC" w:rsidRDefault="00697F2A" w:rsidP="00586340">
      <w:pPr>
        <w:widowControl w:val="0"/>
        <w:spacing w:after="0"/>
        <w:rPr>
          <w:rFonts w:ascii="Verdana" w:eastAsia="Times New Roman" w:hAnsi="Verdana" w:cs="Calibri"/>
          <w:kern w:val="28"/>
          <w:lang w:eastAsia="en-GB"/>
          <w14:cntxtAlts/>
        </w:rPr>
      </w:pPr>
    </w:p>
    <w:tbl>
      <w:tblPr>
        <w:tblStyle w:val="TableGrid"/>
        <w:tblW w:w="0" w:type="auto"/>
        <w:tblLook w:val="04A0" w:firstRow="1" w:lastRow="0" w:firstColumn="1" w:lastColumn="0" w:noHBand="0" w:noVBand="1"/>
      </w:tblPr>
      <w:tblGrid>
        <w:gridCol w:w="1271"/>
        <w:gridCol w:w="2126"/>
        <w:gridCol w:w="2410"/>
        <w:gridCol w:w="1405"/>
        <w:gridCol w:w="1804"/>
      </w:tblGrid>
      <w:tr w:rsidR="00473FFC" w:rsidRPr="00473FFC" w14:paraId="38CBA72F" w14:textId="77777777" w:rsidTr="00507F4B">
        <w:tc>
          <w:tcPr>
            <w:tcW w:w="1271" w:type="dxa"/>
            <w:shd w:val="clear" w:color="auto" w:fill="D9D9D9" w:themeFill="background1" w:themeFillShade="D9"/>
          </w:tcPr>
          <w:p w14:paraId="5A8AC78C" w14:textId="77777777" w:rsidR="00507F4B" w:rsidRPr="00473FFC" w:rsidRDefault="00507F4B" w:rsidP="00507F4B">
            <w:pPr>
              <w:widowControl w:val="0"/>
              <w:spacing w:after="120"/>
              <w:jc w:val="center"/>
              <w:rPr>
                <w:rFonts w:ascii="Verdana" w:eastAsia="Times New Roman" w:hAnsi="Verdana" w:cs="Calibri"/>
                <w:b/>
                <w:kern w:val="28"/>
                <w:lang w:eastAsia="en-GB"/>
                <w14:cntxtAlts/>
              </w:rPr>
            </w:pPr>
            <w:r w:rsidRPr="00473FFC">
              <w:rPr>
                <w:rFonts w:ascii="Verdana" w:eastAsia="Times New Roman" w:hAnsi="Verdana" w:cs="Calibri"/>
                <w:b/>
                <w:kern w:val="28"/>
                <w:lang w:eastAsia="en-GB"/>
                <w14:cntxtAlts/>
              </w:rPr>
              <w:t>Year</w:t>
            </w:r>
          </w:p>
        </w:tc>
        <w:tc>
          <w:tcPr>
            <w:tcW w:w="2126" w:type="dxa"/>
            <w:shd w:val="clear" w:color="auto" w:fill="D9D9D9" w:themeFill="background1" w:themeFillShade="D9"/>
          </w:tcPr>
          <w:p w14:paraId="19162C4A" w14:textId="77777777" w:rsidR="00507F4B" w:rsidRPr="00473FFC" w:rsidRDefault="00507F4B" w:rsidP="00507F4B">
            <w:pPr>
              <w:widowControl w:val="0"/>
              <w:spacing w:after="120"/>
              <w:jc w:val="center"/>
              <w:rPr>
                <w:rFonts w:ascii="Verdana" w:eastAsia="Times New Roman" w:hAnsi="Verdana" w:cs="Calibri"/>
                <w:b/>
                <w:kern w:val="28"/>
                <w:lang w:eastAsia="en-GB"/>
                <w14:cntxtAlts/>
              </w:rPr>
            </w:pPr>
            <w:r w:rsidRPr="00473FFC">
              <w:rPr>
                <w:rFonts w:ascii="Verdana" w:eastAsia="Times New Roman" w:hAnsi="Verdana" w:cs="Calibri"/>
                <w:b/>
                <w:kern w:val="28"/>
                <w:lang w:eastAsia="en-GB"/>
                <w14:cntxtAlts/>
              </w:rPr>
              <w:t>Male hourly pay £</w:t>
            </w:r>
          </w:p>
        </w:tc>
        <w:tc>
          <w:tcPr>
            <w:tcW w:w="2410" w:type="dxa"/>
            <w:shd w:val="clear" w:color="auto" w:fill="D9D9D9" w:themeFill="background1" w:themeFillShade="D9"/>
          </w:tcPr>
          <w:p w14:paraId="02ADD1FA" w14:textId="77777777" w:rsidR="00507F4B" w:rsidRPr="00473FFC" w:rsidRDefault="00507F4B" w:rsidP="00507F4B">
            <w:pPr>
              <w:widowControl w:val="0"/>
              <w:spacing w:after="120"/>
              <w:jc w:val="center"/>
              <w:rPr>
                <w:rFonts w:ascii="Verdana" w:eastAsia="Times New Roman" w:hAnsi="Verdana" w:cs="Calibri"/>
                <w:b/>
                <w:kern w:val="28"/>
                <w:lang w:eastAsia="en-GB"/>
                <w14:cntxtAlts/>
              </w:rPr>
            </w:pPr>
            <w:r w:rsidRPr="00473FFC">
              <w:rPr>
                <w:rFonts w:ascii="Verdana" w:eastAsia="Times New Roman" w:hAnsi="Verdana" w:cs="Calibri"/>
                <w:b/>
                <w:kern w:val="28"/>
                <w:lang w:eastAsia="en-GB"/>
                <w14:cntxtAlts/>
              </w:rPr>
              <w:t>Female hourly pay £</w:t>
            </w:r>
          </w:p>
        </w:tc>
        <w:tc>
          <w:tcPr>
            <w:tcW w:w="1405" w:type="dxa"/>
            <w:shd w:val="clear" w:color="auto" w:fill="D9D9D9" w:themeFill="background1" w:themeFillShade="D9"/>
          </w:tcPr>
          <w:p w14:paraId="615D150C" w14:textId="77777777" w:rsidR="00507F4B" w:rsidRPr="00473FFC" w:rsidRDefault="00507F4B" w:rsidP="00507F4B">
            <w:pPr>
              <w:widowControl w:val="0"/>
              <w:jc w:val="center"/>
              <w:rPr>
                <w:rFonts w:ascii="Verdana" w:eastAsia="Times New Roman" w:hAnsi="Verdana" w:cs="Calibri"/>
                <w:b/>
                <w:kern w:val="28"/>
                <w:lang w:eastAsia="en-GB"/>
                <w14:cntxtAlts/>
              </w:rPr>
            </w:pPr>
            <w:r w:rsidRPr="00473FFC">
              <w:rPr>
                <w:rFonts w:ascii="Verdana" w:eastAsia="Times New Roman" w:hAnsi="Verdana" w:cs="Calibri"/>
                <w:b/>
                <w:kern w:val="28"/>
                <w:lang w:eastAsia="en-GB"/>
                <w14:cntxtAlts/>
              </w:rPr>
              <w:t xml:space="preserve">Pay gap </w:t>
            </w:r>
          </w:p>
          <w:p w14:paraId="4AFD542A" w14:textId="77777777" w:rsidR="00507F4B" w:rsidRPr="00473FFC" w:rsidRDefault="00507F4B" w:rsidP="00507F4B">
            <w:pPr>
              <w:widowControl w:val="0"/>
              <w:spacing w:after="120"/>
              <w:jc w:val="center"/>
              <w:rPr>
                <w:rFonts w:ascii="Verdana" w:eastAsia="Times New Roman" w:hAnsi="Verdana" w:cs="Calibri"/>
                <w:b/>
                <w:kern w:val="28"/>
                <w:lang w:eastAsia="en-GB"/>
                <w14:cntxtAlts/>
              </w:rPr>
            </w:pPr>
            <w:r w:rsidRPr="00473FFC">
              <w:rPr>
                <w:rFonts w:ascii="Verdana" w:eastAsia="Times New Roman" w:hAnsi="Verdana" w:cs="Calibri"/>
                <w:b/>
                <w:kern w:val="28"/>
                <w:lang w:eastAsia="en-GB"/>
                <w14:cntxtAlts/>
              </w:rPr>
              <w:t>£</w:t>
            </w:r>
          </w:p>
        </w:tc>
        <w:tc>
          <w:tcPr>
            <w:tcW w:w="1804" w:type="dxa"/>
            <w:shd w:val="clear" w:color="auto" w:fill="D9D9D9" w:themeFill="background1" w:themeFillShade="D9"/>
          </w:tcPr>
          <w:p w14:paraId="7392A1D3" w14:textId="77777777" w:rsidR="00507F4B" w:rsidRPr="00473FFC" w:rsidRDefault="00507F4B" w:rsidP="00507F4B">
            <w:pPr>
              <w:widowControl w:val="0"/>
              <w:jc w:val="center"/>
              <w:rPr>
                <w:rFonts w:ascii="Verdana" w:eastAsia="Times New Roman" w:hAnsi="Verdana" w:cs="Calibri"/>
                <w:b/>
                <w:kern w:val="28"/>
                <w:lang w:eastAsia="en-GB"/>
                <w14:cntxtAlts/>
              </w:rPr>
            </w:pPr>
            <w:r w:rsidRPr="00473FFC">
              <w:rPr>
                <w:rFonts w:ascii="Verdana" w:eastAsia="Times New Roman" w:hAnsi="Verdana" w:cs="Calibri"/>
                <w:b/>
                <w:kern w:val="28"/>
                <w:lang w:eastAsia="en-GB"/>
                <w14:cntxtAlts/>
              </w:rPr>
              <w:t xml:space="preserve">Pay </w:t>
            </w:r>
            <w:r w:rsidR="00E60138" w:rsidRPr="00473FFC">
              <w:rPr>
                <w:rFonts w:ascii="Verdana" w:eastAsia="Times New Roman" w:hAnsi="Verdana" w:cs="Calibri"/>
                <w:b/>
                <w:kern w:val="28"/>
                <w:lang w:eastAsia="en-GB"/>
                <w14:cntxtAlts/>
              </w:rPr>
              <w:t>gap</w:t>
            </w:r>
            <w:r w:rsidRPr="00473FFC">
              <w:rPr>
                <w:rFonts w:ascii="Verdana" w:eastAsia="Times New Roman" w:hAnsi="Verdana" w:cs="Calibri"/>
                <w:b/>
                <w:kern w:val="28"/>
                <w:lang w:eastAsia="en-GB"/>
                <w14:cntxtAlts/>
              </w:rPr>
              <w:t xml:space="preserve"> </w:t>
            </w:r>
          </w:p>
          <w:p w14:paraId="5B57224C" w14:textId="77777777" w:rsidR="00507F4B" w:rsidRPr="00473FFC" w:rsidRDefault="00507F4B" w:rsidP="00507F4B">
            <w:pPr>
              <w:widowControl w:val="0"/>
              <w:jc w:val="center"/>
              <w:rPr>
                <w:rFonts w:ascii="Verdana" w:eastAsia="Times New Roman" w:hAnsi="Verdana" w:cs="Calibri"/>
                <w:b/>
                <w:kern w:val="28"/>
                <w:lang w:eastAsia="en-GB"/>
                <w14:cntxtAlts/>
              </w:rPr>
            </w:pPr>
            <w:r w:rsidRPr="00473FFC">
              <w:rPr>
                <w:rFonts w:ascii="Verdana" w:eastAsia="Times New Roman" w:hAnsi="Verdana" w:cs="Calibri"/>
                <w:b/>
                <w:kern w:val="28"/>
                <w:lang w:eastAsia="en-GB"/>
                <w14:cntxtAlts/>
              </w:rPr>
              <w:t>%</w:t>
            </w:r>
          </w:p>
        </w:tc>
      </w:tr>
      <w:tr w:rsidR="004F517D" w:rsidRPr="00473FFC" w14:paraId="634B7AFA" w14:textId="77777777" w:rsidTr="004F517D">
        <w:tc>
          <w:tcPr>
            <w:tcW w:w="1271" w:type="dxa"/>
            <w:shd w:val="clear" w:color="auto" w:fill="FFFFFF" w:themeFill="background1"/>
          </w:tcPr>
          <w:p w14:paraId="46F89E65" w14:textId="1EB9C602" w:rsidR="004F517D" w:rsidRPr="004F517D" w:rsidRDefault="004F517D" w:rsidP="004F517D">
            <w:pPr>
              <w:widowControl w:val="0"/>
              <w:spacing w:after="120"/>
              <w:rPr>
                <w:rFonts w:ascii="Verdana" w:eastAsia="Times New Roman" w:hAnsi="Verdana" w:cs="Calibri"/>
                <w:bCs/>
                <w:kern w:val="28"/>
                <w:lang w:eastAsia="en-GB"/>
                <w14:cntxtAlts/>
              </w:rPr>
            </w:pPr>
            <w:r w:rsidRPr="004F517D">
              <w:rPr>
                <w:rFonts w:ascii="Verdana" w:eastAsia="Times New Roman" w:hAnsi="Verdana" w:cs="Calibri"/>
                <w:bCs/>
                <w:kern w:val="28"/>
                <w:lang w:eastAsia="en-GB"/>
                <w14:cntxtAlts/>
              </w:rPr>
              <w:t>2022</w:t>
            </w:r>
          </w:p>
        </w:tc>
        <w:tc>
          <w:tcPr>
            <w:tcW w:w="2126" w:type="dxa"/>
            <w:shd w:val="clear" w:color="auto" w:fill="FFFFFF" w:themeFill="background1"/>
          </w:tcPr>
          <w:p w14:paraId="4AE152F2" w14:textId="7331EDB6" w:rsidR="004F517D" w:rsidRPr="004F517D" w:rsidRDefault="004F517D" w:rsidP="004F517D">
            <w:pPr>
              <w:widowControl w:val="0"/>
              <w:spacing w:after="120"/>
              <w:jc w:val="center"/>
              <w:rPr>
                <w:rFonts w:ascii="Verdana" w:eastAsia="Times New Roman" w:hAnsi="Verdana" w:cs="Calibri"/>
                <w:bCs/>
                <w:kern w:val="28"/>
                <w:lang w:eastAsia="en-GB"/>
                <w14:cntxtAlts/>
              </w:rPr>
            </w:pPr>
            <w:r>
              <w:rPr>
                <w:rFonts w:ascii="Verdana" w:eastAsia="Times New Roman" w:hAnsi="Verdana" w:cs="Calibri"/>
                <w:bCs/>
                <w:kern w:val="28"/>
                <w:lang w:eastAsia="en-GB"/>
                <w14:cntxtAlts/>
              </w:rPr>
              <w:t>19.52</w:t>
            </w:r>
          </w:p>
        </w:tc>
        <w:tc>
          <w:tcPr>
            <w:tcW w:w="2410" w:type="dxa"/>
            <w:shd w:val="clear" w:color="auto" w:fill="FFFFFF" w:themeFill="background1"/>
          </w:tcPr>
          <w:p w14:paraId="4137E7FA" w14:textId="5E931434" w:rsidR="004F517D" w:rsidRPr="004F517D" w:rsidRDefault="004F517D" w:rsidP="004F517D">
            <w:pPr>
              <w:widowControl w:val="0"/>
              <w:spacing w:after="120"/>
              <w:jc w:val="center"/>
              <w:rPr>
                <w:rFonts w:ascii="Verdana" w:eastAsia="Times New Roman" w:hAnsi="Verdana" w:cs="Calibri"/>
                <w:bCs/>
                <w:kern w:val="28"/>
                <w:lang w:eastAsia="en-GB"/>
                <w14:cntxtAlts/>
              </w:rPr>
            </w:pPr>
            <w:r>
              <w:rPr>
                <w:rFonts w:ascii="Verdana" w:eastAsia="Times New Roman" w:hAnsi="Verdana" w:cs="Calibri"/>
                <w:bCs/>
                <w:kern w:val="28"/>
                <w:lang w:eastAsia="en-GB"/>
                <w14:cntxtAlts/>
              </w:rPr>
              <w:t>16.90</w:t>
            </w:r>
          </w:p>
        </w:tc>
        <w:tc>
          <w:tcPr>
            <w:tcW w:w="1405" w:type="dxa"/>
            <w:shd w:val="clear" w:color="auto" w:fill="FFFFFF" w:themeFill="background1"/>
          </w:tcPr>
          <w:p w14:paraId="18CB4866" w14:textId="1E8E516B" w:rsidR="004F517D" w:rsidRPr="004F517D" w:rsidRDefault="004F517D" w:rsidP="004F517D">
            <w:pPr>
              <w:widowControl w:val="0"/>
              <w:jc w:val="center"/>
              <w:rPr>
                <w:rFonts w:ascii="Verdana" w:eastAsia="Times New Roman" w:hAnsi="Verdana" w:cs="Calibri"/>
                <w:bCs/>
                <w:kern w:val="28"/>
                <w:lang w:eastAsia="en-GB"/>
                <w14:cntxtAlts/>
              </w:rPr>
            </w:pPr>
            <w:r>
              <w:rPr>
                <w:rFonts w:ascii="Verdana" w:eastAsia="Times New Roman" w:hAnsi="Verdana" w:cs="Calibri"/>
                <w:bCs/>
                <w:kern w:val="28"/>
                <w:lang w:eastAsia="en-GB"/>
                <w14:cntxtAlts/>
              </w:rPr>
              <w:t>2.62</w:t>
            </w:r>
          </w:p>
        </w:tc>
        <w:tc>
          <w:tcPr>
            <w:tcW w:w="1804" w:type="dxa"/>
            <w:shd w:val="clear" w:color="auto" w:fill="FFFFFF" w:themeFill="background1"/>
          </w:tcPr>
          <w:p w14:paraId="49A53E15" w14:textId="1F82235B" w:rsidR="004F517D" w:rsidRPr="004F517D" w:rsidRDefault="004F517D" w:rsidP="004F517D">
            <w:pPr>
              <w:widowControl w:val="0"/>
              <w:jc w:val="center"/>
              <w:rPr>
                <w:rFonts w:ascii="Verdana" w:eastAsia="Times New Roman" w:hAnsi="Verdana" w:cs="Calibri"/>
                <w:bCs/>
                <w:kern w:val="28"/>
                <w:lang w:eastAsia="en-GB"/>
                <w14:cntxtAlts/>
              </w:rPr>
            </w:pPr>
            <w:r>
              <w:rPr>
                <w:rFonts w:ascii="Verdana" w:eastAsia="Times New Roman" w:hAnsi="Verdana" w:cs="Calibri"/>
                <w:bCs/>
                <w:kern w:val="28"/>
                <w:lang w:eastAsia="en-GB"/>
                <w14:cntxtAlts/>
              </w:rPr>
              <w:t>13.4</w:t>
            </w:r>
          </w:p>
        </w:tc>
      </w:tr>
      <w:tr w:rsidR="00473FFC" w:rsidRPr="00473FFC" w14:paraId="5A602E0A" w14:textId="77777777" w:rsidTr="00507F4B">
        <w:tc>
          <w:tcPr>
            <w:tcW w:w="1271" w:type="dxa"/>
          </w:tcPr>
          <w:p w14:paraId="096F73BD" w14:textId="155C5980" w:rsidR="00A26A4A" w:rsidRPr="00473FFC" w:rsidRDefault="00A26A4A" w:rsidP="00A52223">
            <w:pPr>
              <w:widowControl w:val="0"/>
              <w:spacing w:after="120"/>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2021</w:t>
            </w:r>
          </w:p>
        </w:tc>
        <w:tc>
          <w:tcPr>
            <w:tcW w:w="2126" w:type="dxa"/>
          </w:tcPr>
          <w:p w14:paraId="13B7C38C" w14:textId="24ED525D" w:rsidR="00A26A4A" w:rsidRPr="00473FFC" w:rsidRDefault="00A26A4A" w:rsidP="00507F4B">
            <w:pPr>
              <w:widowControl w:val="0"/>
              <w:spacing w:after="120"/>
              <w:jc w:val="center"/>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18.87</w:t>
            </w:r>
          </w:p>
        </w:tc>
        <w:tc>
          <w:tcPr>
            <w:tcW w:w="2410" w:type="dxa"/>
          </w:tcPr>
          <w:p w14:paraId="0BD599F2" w14:textId="2143EAA6" w:rsidR="00A26A4A" w:rsidRPr="00473FFC" w:rsidRDefault="00AD4FEA" w:rsidP="00280464">
            <w:pPr>
              <w:widowControl w:val="0"/>
              <w:spacing w:after="120"/>
              <w:jc w:val="center"/>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16.27</w:t>
            </w:r>
          </w:p>
        </w:tc>
        <w:tc>
          <w:tcPr>
            <w:tcW w:w="1405" w:type="dxa"/>
          </w:tcPr>
          <w:p w14:paraId="1C7F825A" w14:textId="1A98BEC8" w:rsidR="00A26A4A" w:rsidRPr="00473FFC" w:rsidRDefault="00AD4FEA" w:rsidP="00280464">
            <w:pPr>
              <w:widowControl w:val="0"/>
              <w:spacing w:after="120"/>
              <w:jc w:val="center"/>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2.60</w:t>
            </w:r>
          </w:p>
        </w:tc>
        <w:tc>
          <w:tcPr>
            <w:tcW w:w="1804" w:type="dxa"/>
          </w:tcPr>
          <w:p w14:paraId="62B87B54" w14:textId="1FF9359A" w:rsidR="00A26A4A" w:rsidRPr="00473FFC" w:rsidRDefault="00AD4FEA" w:rsidP="00280464">
            <w:pPr>
              <w:widowControl w:val="0"/>
              <w:spacing w:after="120"/>
              <w:jc w:val="center"/>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13.8</w:t>
            </w:r>
          </w:p>
        </w:tc>
      </w:tr>
      <w:tr w:rsidR="00473FFC" w:rsidRPr="00473FFC" w14:paraId="0D767CFE" w14:textId="77777777" w:rsidTr="00507F4B">
        <w:tc>
          <w:tcPr>
            <w:tcW w:w="1271" w:type="dxa"/>
          </w:tcPr>
          <w:p w14:paraId="26A85659" w14:textId="57CE1E34" w:rsidR="000718C4" w:rsidRPr="00473FFC" w:rsidRDefault="000718C4" w:rsidP="00A52223">
            <w:pPr>
              <w:widowControl w:val="0"/>
              <w:spacing w:after="120"/>
              <w:rPr>
                <w:rFonts w:ascii="Verdana" w:eastAsia="Times New Roman" w:hAnsi="Verdana" w:cs="Calibri"/>
                <w:kern w:val="28"/>
                <w:lang w:eastAsia="en-GB"/>
                <w14:cntxtAlts/>
              </w:rPr>
            </w:pPr>
            <w:bookmarkStart w:id="2" w:name="_Hlk61438616"/>
            <w:r w:rsidRPr="00473FFC">
              <w:rPr>
                <w:rFonts w:ascii="Verdana" w:eastAsia="Times New Roman" w:hAnsi="Verdana" w:cs="Calibri"/>
                <w:kern w:val="28"/>
                <w:lang w:eastAsia="en-GB"/>
                <w14:cntxtAlts/>
              </w:rPr>
              <w:t>2020</w:t>
            </w:r>
          </w:p>
        </w:tc>
        <w:tc>
          <w:tcPr>
            <w:tcW w:w="2126" w:type="dxa"/>
          </w:tcPr>
          <w:p w14:paraId="23054BEE" w14:textId="3F7D86A9" w:rsidR="000718C4" w:rsidRPr="00473FFC" w:rsidRDefault="00B64008" w:rsidP="00507F4B">
            <w:pPr>
              <w:widowControl w:val="0"/>
              <w:spacing w:after="120"/>
              <w:jc w:val="center"/>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19.41</w:t>
            </w:r>
          </w:p>
        </w:tc>
        <w:tc>
          <w:tcPr>
            <w:tcW w:w="2410" w:type="dxa"/>
          </w:tcPr>
          <w:p w14:paraId="1D3EBAC3" w14:textId="458DA97D" w:rsidR="000718C4" w:rsidRPr="00473FFC" w:rsidRDefault="00B64008" w:rsidP="00280464">
            <w:pPr>
              <w:widowControl w:val="0"/>
              <w:spacing w:after="120"/>
              <w:jc w:val="center"/>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15.77</w:t>
            </w:r>
          </w:p>
        </w:tc>
        <w:tc>
          <w:tcPr>
            <w:tcW w:w="1405" w:type="dxa"/>
          </w:tcPr>
          <w:p w14:paraId="0A8F8164" w14:textId="423DED9D" w:rsidR="000718C4" w:rsidRPr="00473FFC" w:rsidRDefault="00B64008" w:rsidP="00280464">
            <w:pPr>
              <w:widowControl w:val="0"/>
              <w:spacing w:after="120"/>
              <w:jc w:val="center"/>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3.64</w:t>
            </w:r>
          </w:p>
        </w:tc>
        <w:tc>
          <w:tcPr>
            <w:tcW w:w="1804" w:type="dxa"/>
          </w:tcPr>
          <w:p w14:paraId="3E6395CC" w14:textId="75C018A9" w:rsidR="000718C4" w:rsidRPr="00473FFC" w:rsidRDefault="00B64008" w:rsidP="00280464">
            <w:pPr>
              <w:widowControl w:val="0"/>
              <w:spacing w:after="120"/>
              <w:jc w:val="center"/>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18.8</w:t>
            </w:r>
          </w:p>
        </w:tc>
      </w:tr>
      <w:tr w:rsidR="00473FFC" w:rsidRPr="00473FFC" w14:paraId="5E1C7CE0" w14:textId="77777777" w:rsidTr="00507F4B">
        <w:tc>
          <w:tcPr>
            <w:tcW w:w="1271" w:type="dxa"/>
          </w:tcPr>
          <w:p w14:paraId="77D98D4A" w14:textId="08740AF6" w:rsidR="0080519D" w:rsidRPr="00473FFC" w:rsidRDefault="00426F63" w:rsidP="00A52223">
            <w:pPr>
              <w:widowControl w:val="0"/>
              <w:spacing w:after="120"/>
              <w:rPr>
                <w:rFonts w:ascii="Verdana" w:eastAsia="Times New Roman" w:hAnsi="Verdana" w:cs="Calibri"/>
                <w:kern w:val="28"/>
                <w:lang w:eastAsia="en-GB"/>
                <w14:cntxtAlts/>
              </w:rPr>
            </w:pPr>
            <w:bookmarkStart w:id="3" w:name="_Hlk92795085"/>
            <w:r w:rsidRPr="00473FFC">
              <w:rPr>
                <w:rFonts w:ascii="Verdana" w:eastAsia="Times New Roman" w:hAnsi="Verdana" w:cs="Calibri"/>
                <w:kern w:val="28"/>
                <w:lang w:eastAsia="en-GB"/>
                <w14:cntxtAlts/>
              </w:rPr>
              <w:t>2019</w:t>
            </w:r>
          </w:p>
        </w:tc>
        <w:tc>
          <w:tcPr>
            <w:tcW w:w="2126" w:type="dxa"/>
          </w:tcPr>
          <w:p w14:paraId="700E3A34" w14:textId="4DA3E92B" w:rsidR="0080519D" w:rsidRPr="00473FFC" w:rsidRDefault="00426F63" w:rsidP="00507F4B">
            <w:pPr>
              <w:widowControl w:val="0"/>
              <w:spacing w:after="120"/>
              <w:jc w:val="center"/>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18.18</w:t>
            </w:r>
          </w:p>
        </w:tc>
        <w:tc>
          <w:tcPr>
            <w:tcW w:w="2410" w:type="dxa"/>
          </w:tcPr>
          <w:p w14:paraId="6CDBD380" w14:textId="66ABE950" w:rsidR="0080519D" w:rsidRPr="00473FFC" w:rsidRDefault="00426F63" w:rsidP="00280464">
            <w:pPr>
              <w:widowControl w:val="0"/>
              <w:spacing w:after="120"/>
              <w:jc w:val="center"/>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15.</w:t>
            </w:r>
            <w:r w:rsidR="004C5077" w:rsidRPr="00473FFC">
              <w:rPr>
                <w:rFonts w:ascii="Verdana" w:eastAsia="Times New Roman" w:hAnsi="Verdana" w:cs="Calibri"/>
                <w:kern w:val="28"/>
                <w:lang w:eastAsia="en-GB"/>
                <w14:cntxtAlts/>
              </w:rPr>
              <w:t>43</w:t>
            </w:r>
          </w:p>
        </w:tc>
        <w:tc>
          <w:tcPr>
            <w:tcW w:w="1405" w:type="dxa"/>
          </w:tcPr>
          <w:p w14:paraId="484DC405" w14:textId="77777777" w:rsidR="0080519D" w:rsidRPr="00473FFC" w:rsidRDefault="00426F63" w:rsidP="00280464">
            <w:pPr>
              <w:widowControl w:val="0"/>
              <w:spacing w:after="120"/>
              <w:jc w:val="center"/>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2.7</w:t>
            </w:r>
            <w:r w:rsidR="00A63AC9" w:rsidRPr="00473FFC">
              <w:rPr>
                <w:rFonts w:ascii="Verdana" w:eastAsia="Times New Roman" w:hAnsi="Verdana" w:cs="Calibri"/>
                <w:kern w:val="28"/>
                <w:lang w:eastAsia="en-GB"/>
                <w14:cntxtAlts/>
              </w:rPr>
              <w:t>5</w:t>
            </w:r>
          </w:p>
        </w:tc>
        <w:tc>
          <w:tcPr>
            <w:tcW w:w="1804" w:type="dxa"/>
          </w:tcPr>
          <w:p w14:paraId="6A65CAA8" w14:textId="77777777" w:rsidR="0080519D" w:rsidRPr="00473FFC" w:rsidRDefault="009307EF" w:rsidP="00280464">
            <w:pPr>
              <w:widowControl w:val="0"/>
              <w:spacing w:after="120"/>
              <w:jc w:val="center"/>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15.1</w:t>
            </w:r>
          </w:p>
        </w:tc>
      </w:tr>
      <w:tr w:rsidR="00473FFC" w:rsidRPr="00473FFC" w14:paraId="004DDF44" w14:textId="77777777" w:rsidTr="00507F4B">
        <w:tc>
          <w:tcPr>
            <w:tcW w:w="1271" w:type="dxa"/>
          </w:tcPr>
          <w:p w14:paraId="05EF8228" w14:textId="18B3CEAE" w:rsidR="00507F4B" w:rsidRPr="00473FFC" w:rsidRDefault="00507F4B" w:rsidP="00A52223">
            <w:pPr>
              <w:widowControl w:val="0"/>
              <w:spacing w:after="120"/>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 xml:space="preserve">2018 </w:t>
            </w:r>
          </w:p>
        </w:tc>
        <w:tc>
          <w:tcPr>
            <w:tcW w:w="2126" w:type="dxa"/>
          </w:tcPr>
          <w:p w14:paraId="5060F7C5" w14:textId="2435066B" w:rsidR="00507F4B" w:rsidRPr="00473FFC" w:rsidRDefault="003B66A7" w:rsidP="00507F4B">
            <w:pPr>
              <w:widowControl w:val="0"/>
              <w:spacing w:after="120"/>
              <w:jc w:val="center"/>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17.3</w:t>
            </w:r>
            <w:r w:rsidR="001534EE" w:rsidRPr="00473FFC">
              <w:rPr>
                <w:rFonts w:ascii="Verdana" w:eastAsia="Times New Roman" w:hAnsi="Verdana" w:cs="Calibri"/>
                <w:kern w:val="28"/>
                <w:lang w:eastAsia="en-GB"/>
                <w14:cntxtAlts/>
              </w:rPr>
              <w:t>6</w:t>
            </w:r>
          </w:p>
        </w:tc>
        <w:tc>
          <w:tcPr>
            <w:tcW w:w="2410" w:type="dxa"/>
          </w:tcPr>
          <w:p w14:paraId="330E2618" w14:textId="6C229826" w:rsidR="00507F4B" w:rsidRPr="00473FFC" w:rsidRDefault="003B66A7" w:rsidP="00280464">
            <w:pPr>
              <w:widowControl w:val="0"/>
              <w:spacing w:after="120"/>
              <w:jc w:val="center"/>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14.4</w:t>
            </w:r>
            <w:r w:rsidR="001534EE" w:rsidRPr="00473FFC">
              <w:rPr>
                <w:rFonts w:ascii="Verdana" w:eastAsia="Times New Roman" w:hAnsi="Verdana" w:cs="Calibri"/>
                <w:kern w:val="28"/>
                <w:lang w:eastAsia="en-GB"/>
                <w14:cntxtAlts/>
              </w:rPr>
              <w:t>7</w:t>
            </w:r>
          </w:p>
        </w:tc>
        <w:tc>
          <w:tcPr>
            <w:tcW w:w="1405" w:type="dxa"/>
          </w:tcPr>
          <w:p w14:paraId="40D84547" w14:textId="77777777" w:rsidR="00507F4B" w:rsidRPr="00473FFC" w:rsidRDefault="003B66A7" w:rsidP="00280464">
            <w:pPr>
              <w:widowControl w:val="0"/>
              <w:spacing w:after="120"/>
              <w:jc w:val="center"/>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2.89</w:t>
            </w:r>
          </w:p>
        </w:tc>
        <w:tc>
          <w:tcPr>
            <w:tcW w:w="1804" w:type="dxa"/>
          </w:tcPr>
          <w:p w14:paraId="43E69779" w14:textId="77777777" w:rsidR="00507F4B" w:rsidRPr="00473FFC" w:rsidRDefault="009307EF" w:rsidP="00280464">
            <w:pPr>
              <w:widowControl w:val="0"/>
              <w:spacing w:after="120"/>
              <w:jc w:val="center"/>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16.6</w:t>
            </w:r>
          </w:p>
        </w:tc>
      </w:tr>
      <w:tr w:rsidR="00507F4B" w:rsidRPr="00473FFC" w14:paraId="559A2471" w14:textId="77777777" w:rsidTr="00507F4B">
        <w:tc>
          <w:tcPr>
            <w:tcW w:w="1271" w:type="dxa"/>
          </w:tcPr>
          <w:p w14:paraId="467AF32B" w14:textId="392FF50A" w:rsidR="00507F4B" w:rsidRPr="00473FFC" w:rsidRDefault="00507F4B" w:rsidP="00A52223">
            <w:pPr>
              <w:widowControl w:val="0"/>
              <w:spacing w:after="120"/>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2017</w:t>
            </w:r>
          </w:p>
        </w:tc>
        <w:tc>
          <w:tcPr>
            <w:tcW w:w="2126" w:type="dxa"/>
          </w:tcPr>
          <w:p w14:paraId="75CF8CB0" w14:textId="77777777" w:rsidR="00507F4B" w:rsidRPr="00473FFC" w:rsidRDefault="00507F4B" w:rsidP="00507F4B">
            <w:pPr>
              <w:widowControl w:val="0"/>
              <w:spacing w:after="120"/>
              <w:jc w:val="center"/>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18.10</w:t>
            </w:r>
          </w:p>
        </w:tc>
        <w:tc>
          <w:tcPr>
            <w:tcW w:w="2410" w:type="dxa"/>
          </w:tcPr>
          <w:p w14:paraId="365542E2" w14:textId="77777777" w:rsidR="00507F4B" w:rsidRPr="00473FFC" w:rsidRDefault="00507F4B" w:rsidP="00507F4B">
            <w:pPr>
              <w:widowControl w:val="0"/>
              <w:spacing w:after="120"/>
              <w:jc w:val="center"/>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14.59</w:t>
            </w:r>
          </w:p>
        </w:tc>
        <w:tc>
          <w:tcPr>
            <w:tcW w:w="1405" w:type="dxa"/>
          </w:tcPr>
          <w:p w14:paraId="7FF3B72F" w14:textId="77777777" w:rsidR="00507F4B" w:rsidRPr="00473FFC" w:rsidRDefault="00507F4B" w:rsidP="00507F4B">
            <w:pPr>
              <w:widowControl w:val="0"/>
              <w:spacing w:after="120"/>
              <w:jc w:val="center"/>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3.51</w:t>
            </w:r>
          </w:p>
        </w:tc>
        <w:tc>
          <w:tcPr>
            <w:tcW w:w="1804" w:type="dxa"/>
          </w:tcPr>
          <w:p w14:paraId="43C7732B" w14:textId="77777777" w:rsidR="00507F4B" w:rsidRPr="00473FFC" w:rsidRDefault="003C5253" w:rsidP="00507F4B">
            <w:pPr>
              <w:widowControl w:val="0"/>
              <w:spacing w:after="120"/>
              <w:jc w:val="center"/>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19.4</w:t>
            </w:r>
          </w:p>
        </w:tc>
      </w:tr>
      <w:bookmarkEnd w:id="2"/>
      <w:bookmarkEnd w:id="3"/>
    </w:tbl>
    <w:p w14:paraId="1574EB81" w14:textId="77777777" w:rsidR="006308FC" w:rsidRPr="00473FFC" w:rsidRDefault="006308FC" w:rsidP="00586340">
      <w:pPr>
        <w:widowControl w:val="0"/>
        <w:spacing w:after="0"/>
        <w:rPr>
          <w:rFonts w:ascii="Verdana" w:eastAsia="Times New Roman" w:hAnsi="Verdana" w:cs="Calibri"/>
          <w:i/>
          <w:kern w:val="28"/>
          <w:lang w:eastAsia="en-GB"/>
          <w14:cntxtAlts/>
        </w:rPr>
      </w:pPr>
    </w:p>
    <w:p w14:paraId="1325BEAB" w14:textId="74827B79" w:rsidR="00950888" w:rsidRPr="00473FFC" w:rsidRDefault="00A52223" w:rsidP="009B29F3">
      <w:pPr>
        <w:widowControl w:val="0"/>
        <w:spacing w:after="0"/>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In comparison, for 20</w:t>
      </w:r>
      <w:r w:rsidR="00950888" w:rsidRPr="00473FFC">
        <w:rPr>
          <w:rFonts w:ascii="Verdana" w:eastAsia="Times New Roman" w:hAnsi="Verdana" w:cs="Calibri"/>
          <w:kern w:val="28"/>
          <w:lang w:eastAsia="en-GB"/>
          <w14:cntxtAlts/>
        </w:rPr>
        <w:t>2</w:t>
      </w:r>
      <w:r w:rsidR="005F775F">
        <w:rPr>
          <w:rFonts w:ascii="Verdana" w:eastAsia="Times New Roman" w:hAnsi="Verdana" w:cs="Calibri"/>
          <w:kern w:val="28"/>
          <w:lang w:eastAsia="en-GB"/>
          <w14:cntxtAlts/>
        </w:rPr>
        <w:t>1</w:t>
      </w:r>
      <w:r w:rsidRPr="00473FFC">
        <w:rPr>
          <w:rFonts w:ascii="Verdana" w:eastAsia="Times New Roman" w:hAnsi="Verdana" w:cs="Calibri"/>
          <w:kern w:val="28"/>
          <w:lang w:eastAsia="en-GB"/>
          <w14:cntxtAlts/>
        </w:rPr>
        <w:t xml:space="preserve"> the </w:t>
      </w:r>
      <w:r w:rsidR="007E41FC" w:rsidRPr="00473FFC">
        <w:rPr>
          <w:rFonts w:ascii="Verdana" w:eastAsia="Times New Roman" w:hAnsi="Verdana" w:cs="Calibri"/>
          <w:kern w:val="28"/>
          <w:lang w:eastAsia="en-GB"/>
          <w14:cntxtAlts/>
        </w:rPr>
        <w:t xml:space="preserve">mean (average) gender pay gap </w:t>
      </w:r>
      <w:r w:rsidRPr="00473FFC">
        <w:rPr>
          <w:rFonts w:ascii="Verdana" w:eastAsia="Times New Roman" w:hAnsi="Verdana" w:cs="Calibri"/>
          <w:kern w:val="28"/>
          <w:lang w:eastAsia="en-GB"/>
          <w14:cntxtAlts/>
        </w:rPr>
        <w:t>wa</w:t>
      </w:r>
      <w:r w:rsidR="007E41FC" w:rsidRPr="00473FFC">
        <w:rPr>
          <w:rFonts w:ascii="Verdana" w:eastAsia="Times New Roman" w:hAnsi="Verdana" w:cs="Calibri"/>
          <w:kern w:val="28"/>
          <w:lang w:eastAsia="en-GB"/>
          <w14:cntxtAlts/>
        </w:rPr>
        <w:t xml:space="preserve">s </w:t>
      </w:r>
      <w:r w:rsidR="00A126DC" w:rsidRPr="00473FFC">
        <w:rPr>
          <w:rFonts w:ascii="Verdana" w:eastAsia="Times New Roman" w:hAnsi="Verdana" w:cs="Calibri"/>
          <w:kern w:val="28"/>
          <w:lang w:eastAsia="en-GB"/>
          <w14:cntxtAlts/>
        </w:rPr>
        <w:t>1</w:t>
      </w:r>
      <w:r w:rsidR="000E2966">
        <w:rPr>
          <w:rFonts w:ascii="Verdana" w:eastAsia="Times New Roman" w:hAnsi="Verdana" w:cs="Calibri"/>
          <w:kern w:val="28"/>
          <w:lang w:eastAsia="en-GB"/>
          <w14:cntxtAlts/>
        </w:rPr>
        <w:t>3</w:t>
      </w:r>
      <w:r w:rsidR="00950888" w:rsidRPr="00473FFC">
        <w:rPr>
          <w:rFonts w:ascii="Verdana" w:eastAsia="Times New Roman" w:hAnsi="Verdana" w:cs="Calibri"/>
          <w:kern w:val="28"/>
          <w:lang w:eastAsia="en-GB"/>
          <w14:cntxtAlts/>
        </w:rPr>
        <w:t>.8</w:t>
      </w:r>
      <w:r w:rsidR="004A0D98" w:rsidRPr="00473FFC">
        <w:rPr>
          <w:rFonts w:ascii="Verdana" w:eastAsia="Times New Roman" w:hAnsi="Verdana" w:cs="Calibri"/>
          <w:kern w:val="28"/>
          <w:lang w:eastAsia="en-GB"/>
          <w14:cntxtAlts/>
        </w:rPr>
        <w:t xml:space="preserve"> per cent</w:t>
      </w:r>
      <w:r w:rsidR="007E41FC" w:rsidRPr="00473FFC">
        <w:rPr>
          <w:rFonts w:ascii="Verdana" w:eastAsia="Times New Roman" w:hAnsi="Verdana" w:cs="Calibri"/>
          <w:kern w:val="28"/>
          <w:lang w:eastAsia="en-GB"/>
          <w14:cntxtAlts/>
        </w:rPr>
        <w:t>. This mean</w:t>
      </w:r>
      <w:r w:rsidRPr="00473FFC">
        <w:rPr>
          <w:rFonts w:ascii="Verdana" w:eastAsia="Times New Roman" w:hAnsi="Verdana" w:cs="Calibri"/>
          <w:kern w:val="28"/>
          <w:lang w:eastAsia="en-GB"/>
          <w14:cntxtAlts/>
        </w:rPr>
        <w:t>t</w:t>
      </w:r>
      <w:r w:rsidR="007E41FC" w:rsidRPr="00473FFC">
        <w:rPr>
          <w:rFonts w:ascii="Verdana" w:eastAsia="Times New Roman" w:hAnsi="Verdana" w:cs="Calibri"/>
          <w:kern w:val="28"/>
          <w:lang w:eastAsia="en-GB"/>
          <w14:cntxtAlts/>
        </w:rPr>
        <w:t xml:space="preserve"> that male </w:t>
      </w:r>
      <w:r w:rsidRPr="00473FFC">
        <w:rPr>
          <w:rFonts w:ascii="Verdana" w:eastAsia="Times New Roman" w:hAnsi="Verdana" w:cs="Calibri"/>
          <w:kern w:val="28"/>
          <w:lang w:eastAsia="en-GB"/>
          <w14:cntxtAlts/>
        </w:rPr>
        <w:t>employees</w:t>
      </w:r>
      <w:r w:rsidR="007E41FC" w:rsidRPr="00473FFC">
        <w:rPr>
          <w:rFonts w:ascii="Verdana" w:eastAsia="Times New Roman" w:hAnsi="Verdana" w:cs="Calibri"/>
          <w:kern w:val="28"/>
          <w:lang w:eastAsia="en-GB"/>
          <w14:cntxtAlts/>
        </w:rPr>
        <w:t xml:space="preserve"> earn</w:t>
      </w:r>
      <w:r w:rsidR="0000150A">
        <w:rPr>
          <w:rFonts w:ascii="Verdana" w:eastAsia="Times New Roman" w:hAnsi="Verdana" w:cs="Calibri"/>
          <w:kern w:val="28"/>
          <w:lang w:eastAsia="en-GB"/>
          <w14:cntxtAlts/>
        </w:rPr>
        <w:t>ed</w:t>
      </w:r>
      <w:r w:rsidR="007E41FC" w:rsidRPr="00473FFC">
        <w:rPr>
          <w:rFonts w:ascii="Verdana" w:eastAsia="Times New Roman" w:hAnsi="Verdana" w:cs="Calibri"/>
          <w:kern w:val="28"/>
          <w:lang w:eastAsia="en-GB"/>
          <w14:cntxtAlts/>
        </w:rPr>
        <w:t xml:space="preserve"> £</w:t>
      </w:r>
      <w:r w:rsidR="000E2966">
        <w:rPr>
          <w:rFonts w:ascii="Verdana" w:eastAsia="Times New Roman" w:hAnsi="Verdana" w:cs="Calibri"/>
          <w:kern w:val="28"/>
          <w:lang w:eastAsia="en-GB"/>
          <w14:cntxtAlts/>
        </w:rPr>
        <w:t>2</w:t>
      </w:r>
      <w:r w:rsidR="00950888" w:rsidRPr="00473FFC">
        <w:rPr>
          <w:rFonts w:ascii="Verdana" w:eastAsia="Times New Roman" w:hAnsi="Verdana" w:cs="Calibri"/>
          <w:kern w:val="28"/>
          <w:lang w:eastAsia="en-GB"/>
          <w14:cntxtAlts/>
        </w:rPr>
        <w:t>.6</w:t>
      </w:r>
      <w:r w:rsidR="000E2966">
        <w:rPr>
          <w:rFonts w:ascii="Verdana" w:eastAsia="Times New Roman" w:hAnsi="Verdana" w:cs="Calibri"/>
          <w:kern w:val="28"/>
          <w:lang w:eastAsia="en-GB"/>
          <w14:cntxtAlts/>
        </w:rPr>
        <w:t>0</w:t>
      </w:r>
      <w:r w:rsidR="007E41FC" w:rsidRPr="00473FFC">
        <w:rPr>
          <w:rFonts w:ascii="Verdana" w:eastAsia="Times New Roman" w:hAnsi="Verdana" w:cs="Calibri"/>
          <w:kern w:val="28"/>
          <w:lang w:eastAsia="en-GB"/>
          <w14:cntxtAlts/>
        </w:rPr>
        <w:t xml:space="preserve"> per hour more than females</w:t>
      </w:r>
      <w:r w:rsidR="00950888" w:rsidRPr="00473FFC">
        <w:rPr>
          <w:rFonts w:ascii="Verdana" w:eastAsia="Times New Roman" w:hAnsi="Verdana" w:cs="Calibri"/>
          <w:kern w:val="28"/>
          <w:lang w:eastAsia="en-GB"/>
          <w14:cntxtAlts/>
        </w:rPr>
        <w:t xml:space="preserve">. </w:t>
      </w:r>
    </w:p>
    <w:p w14:paraId="3768F892" w14:textId="3DB15917" w:rsidR="007E41FC" w:rsidRPr="00473FFC" w:rsidRDefault="007E41FC" w:rsidP="00186B72">
      <w:pPr>
        <w:widowControl w:val="0"/>
        <w:spacing w:after="0"/>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 xml:space="preserve">  </w:t>
      </w:r>
    </w:p>
    <w:p w14:paraId="5114C398" w14:textId="77777777" w:rsidR="007E41FC" w:rsidRPr="00473FFC" w:rsidRDefault="007E41FC" w:rsidP="00A52223">
      <w:pPr>
        <w:widowControl w:val="0"/>
        <w:spacing w:after="120"/>
        <w:rPr>
          <w:rFonts w:ascii="Verdana" w:eastAsia="Times New Roman" w:hAnsi="Verdana" w:cs="Calibri"/>
          <w:b/>
          <w:bCs/>
          <w:kern w:val="28"/>
          <w:lang w:eastAsia="en-GB"/>
          <w14:cntxtAlts/>
        </w:rPr>
      </w:pPr>
      <w:r w:rsidRPr="005E6EAF">
        <w:rPr>
          <w:rFonts w:ascii="Verdana" w:eastAsia="Times New Roman" w:hAnsi="Verdana" w:cs="Calibri"/>
          <w:b/>
          <w:bCs/>
          <w:kern w:val="28"/>
          <w:lang w:eastAsia="en-GB"/>
          <w14:cntxtAlts/>
        </w:rPr>
        <w:t>2. Median hourly gender pay gap</w:t>
      </w:r>
      <w:r w:rsidRPr="00473FFC">
        <w:rPr>
          <w:rFonts w:ascii="Verdana" w:eastAsia="Times New Roman" w:hAnsi="Verdana" w:cs="Calibri"/>
          <w:b/>
          <w:bCs/>
          <w:kern w:val="28"/>
          <w:lang w:eastAsia="en-GB"/>
          <w14:cntxtAlts/>
        </w:rPr>
        <w:t xml:space="preserve"> </w:t>
      </w:r>
    </w:p>
    <w:p w14:paraId="24A06DCB" w14:textId="425F42F6" w:rsidR="007E41FC" w:rsidRPr="00473FFC" w:rsidRDefault="007E41FC" w:rsidP="00A52223">
      <w:pPr>
        <w:widowControl w:val="0"/>
        <w:spacing w:after="120"/>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 xml:space="preserve">The difference between the median hourly rate of pay for male and female full-pay </w:t>
      </w:r>
      <w:r w:rsidR="00474F1F" w:rsidRPr="00473FFC">
        <w:rPr>
          <w:rFonts w:ascii="Verdana" w:eastAsia="Times New Roman" w:hAnsi="Verdana" w:cs="Calibri"/>
          <w:kern w:val="28"/>
          <w:lang w:eastAsia="en-GB"/>
          <w14:cntxtAlts/>
        </w:rPr>
        <w:t>relevant employees.</w:t>
      </w:r>
    </w:p>
    <w:p w14:paraId="3CE23072" w14:textId="0EAEBA17" w:rsidR="00225C80" w:rsidRDefault="00697F2A" w:rsidP="00A52223">
      <w:pPr>
        <w:widowControl w:val="0"/>
        <w:spacing w:after="120"/>
        <w:rPr>
          <w:rFonts w:ascii="Verdana" w:eastAsia="Times New Roman" w:hAnsi="Verdana" w:cs="Calibri"/>
          <w:kern w:val="28"/>
          <w:lang w:eastAsia="en-GB"/>
          <w14:cntxtAlts/>
        </w:rPr>
      </w:pPr>
      <w:r w:rsidRPr="00473FFC">
        <w:rPr>
          <w:rFonts w:ascii="Verdana" w:eastAsia="Times New Roman" w:hAnsi="Verdana" w:cs="Calibri"/>
          <w:kern w:val="28"/>
          <w:lang w:eastAsia="en-GB"/>
          <w14:cntxtAlts/>
        </w:rPr>
        <w:t>The median gender pay gap for 202</w:t>
      </w:r>
      <w:r w:rsidR="00225C80">
        <w:rPr>
          <w:rFonts w:ascii="Verdana" w:eastAsia="Times New Roman" w:hAnsi="Verdana" w:cs="Calibri"/>
          <w:kern w:val="28"/>
          <w:lang w:eastAsia="en-GB"/>
          <w14:cntxtAlts/>
        </w:rPr>
        <w:t>2</w:t>
      </w:r>
      <w:r w:rsidRPr="00473FFC">
        <w:rPr>
          <w:rFonts w:ascii="Verdana" w:eastAsia="Times New Roman" w:hAnsi="Verdana" w:cs="Calibri"/>
          <w:kern w:val="28"/>
          <w:lang w:eastAsia="en-GB"/>
          <w14:cntxtAlts/>
        </w:rPr>
        <w:t xml:space="preserve"> is </w:t>
      </w:r>
      <w:r w:rsidR="00225C80">
        <w:rPr>
          <w:rFonts w:ascii="Verdana" w:eastAsia="Times New Roman" w:hAnsi="Verdana" w:cs="Calibri"/>
          <w:kern w:val="28"/>
          <w:lang w:eastAsia="en-GB"/>
          <w14:cntxtAlts/>
        </w:rPr>
        <w:t>11.7</w:t>
      </w:r>
      <w:r w:rsidRPr="00473FFC">
        <w:rPr>
          <w:rFonts w:ascii="Verdana" w:eastAsia="Times New Roman" w:hAnsi="Verdana" w:cs="Calibri"/>
          <w:kern w:val="28"/>
          <w:lang w:eastAsia="en-GB"/>
          <w14:cntxtAlts/>
        </w:rPr>
        <w:t xml:space="preserve"> per cent. </w:t>
      </w:r>
      <w:r w:rsidR="00225C80">
        <w:rPr>
          <w:rFonts w:ascii="Verdana" w:eastAsia="Times New Roman" w:hAnsi="Verdana" w:cs="Calibri"/>
          <w:kern w:val="28"/>
          <w:lang w:eastAsia="en-GB"/>
          <w14:cntxtAlts/>
        </w:rPr>
        <w:t xml:space="preserve">Whilst the median hourly pay for both males and females has increased, the increase is larger for males at 87 pence, compared to 32 pence for females, and for 2022 </w:t>
      </w:r>
      <w:r w:rsidR="00225C80">
        <w:rPr>
          <w:rFonts w:ascii="Verdana" w:eastAsia="Times New Roman" w:hAnsi="Verdana" w:cs="Calibri"/>
          <w:color w:val="000000"/>
          <w:kern w:val="28"/>
          <w:lang w:eastAsia="en-GB"/>
          <w14:cntxtAlts/>
        </w:rPr>
        <w:t>male employees earn</w:t>
      </w:r>
      <w:r w:rsidR="0000150A">
        <w:rPr>
          <w:rFonts w:ascii="Verdana" w:eastAsia="Times New Roman" w:hAnsi="Verdana" w:cs="Calibri"/>
          <w:color w:val="000000"/>
          <w:kern w:val="28"/>
          <w:lang w:eastAsia="en-GB"/>
          <w14:cntxtAlts/>
        </w:rPr>
        <w:t>ed</w:t>
      </w:r>
      <w:r w:rsidR="00225C80">
        <w:rPr>
          <w:rFonts w:ascii="Verdana" w:eastAsia="Times New Roman" w:hAnsi="Verdana" w:cs="Calibri"/>
          <w:color w:val="000000"/>
          <w:kern w:val="28"/>
          <w:lang w:eastAsia="en-GB"/>
          <w14:cntxtAlts/>
        </w:rPr>
        <w:t xml:space="preserve"> £2.08 per hour more than females.</w:t>
      </w:r>
    </w:p>
    <w:p w14:paraId="5B98ADE8" w14:textId="5FA33EA5" w:rsidR="00697F2A" w:rsidRPr="00473FFC" w:rsidRDefault="00376F5B" w:rsidP="00A52223">
      <w:pPr>
        <w:widowControl w:val="0"/>
        <w:spacing w:after="120"/>
        <w:rPr>
          <w:rFonts w:ascii="Verdana" w:eastAsia="Times New Roman" w:hAnsi="Verdana" w:cs="Calibri"/>
          <w:kern w:val="28"/>
          <w:lang w:eastAsia="en-GB"/>
          <w14:cntxtAlts/>
        </w:rPr>
      </w:pPr>
      <w:r>
        <w:rPr>
          <w:rFonts w:ascii="Verdana" w:eastAsia="Times New Roman" w:hAnsi="Verdana" w:cs="Calibri"/>
          <w:kern w:val="28"/>
          <w:lang w:eastAsia="en-GB"/>
          <w14:cntxtAlts/>
        </w:rPr>
        <w:t>Although</w:t>
      </w:r>
      <w:r w:rsidR="00225C80">
        <w:rPr>
          <w:rFonts w:ascii="Verdana" w:eastAsia="Times New Roman" w:hAnsi="Verdana" w:cs="Calibri"/>
          <w:kern w:val="28"/>
          <w:lang w:eastAsia="en-GB"/>
          <w14:cntxtAlts/>
        </w:rPr>
        <w:t xml:space="preserve"> for 2022 the hourly pay for females is the largest since first reporting in 2017, </w:t>
      </w:r>
      <w:r w:rsidR="005E6EAF">
        <w:rPr>
          <w:rFonts w:ascii="Verdana" w:eastAsia="Times New Roman" w:hAnsi="Verdana" w:cs="Calibri"/>
          <w:kern w:val="28"/>
          <w:lang w:eastAsia="en-GB"/>
          <w14:cntxtAlts/>
        </w:rPr>
        <w:t>it</w:t>
      </w:r>
      <w:r w:rsidR="00225C80">
        <w:rPr>
          <w:rFonts w:ascii="Verdana" w:eastAsia="Times New Roman" w:hAnsi="Verdana" w:cs="Calibri"/>
          <w:kern w:val="28"/>
          <w:lang w:eastAsia="en-GB"/>
          <w14:cntxtAlts/>
        </w:rPr>
        <w:t xml:space="preserve"> is still lower than the amount first reported </w:t>
      </w:r>
      <w:r>
        <w:rPr>
          <w:rFonts w:ascii="Verdana" w:eastAsia="Times New Roman" w:hAnsi="Verdana" w:cs="Calibri"/>
          <w:kern w:val="28"/>
          <w:lang w:eastAsia="en-GB"/>
          <w14:cntxtAlts/>
        </w:rPr>
        <w:t xml:space="preserve">in 2017 </w:t>
      </w:r>
      <w:r w:rsidR="00225C80">
        <w:rPr>
          <w:rFonts w:ascii="Verdana" w:eastAsia="Times New Roman" w:hAnsi="Verdana" w:cs="Calibri"/>
          <w:kern w:val="28"/>
          <w:lang w:eastAsia="en-GB"/>
          <w14:cntxtAlts/>
        </w:rPr>
        <w:t>for male hourly pay</w:t>
      </w:r>
      <w:r w:rsidR="00F74631" w:rsidRPr="00473FFC">
        <w:rPr>
          <w:rFonts w:ascii="Verdana" w:eastAsia="Times New Roman" w:hAnsi="Verdana" w:cs="Calibri"/>
          <w:kern w:val="28"/>
          <w:lang w:eastAsia="en-GB"/>
          <w14:cntxtAlts/>
        </w:rPr>
        <w:t xml:space="preserve">. </w:t>
      </w:r>
    </w:p>
    <w:p w14:paraId="4CF68869" w14:textId="3A640FCE" w:rsidR="0037397E" w:rsidRDefault="0037397E" w:rsidP="00A52223">
      <w:pPr>
        <w:widowControl w:val="0"/>
        <w:spacing w:after="120"/>
        <w:rPr>
          <w:rFonts w:ascii="Verdana" w:eastAsia="Times New Roman" w:hAnsi="Verdana" w:cs="Calibri"/>
          <w:color w:val="000000"/>
          <w:kern w:val="28"/>
          <w:lang w:eastAsia="en-GB"/>
          <w14:cntxtAlts/>
        </w:rPr>
      </w:pPr>
    </w:p>
    <w:p w14:paraId="2BBF1366" w14:textId="5C58076B" w:rsidR="005E6EAF" w:rsidRDefault="005E6EAF" w:rsidP="00A52223">
      <w:pPr>
        <w:widowControl w:val="0"/>
        <w:spacing w:after="120"/>
        <w:rPr>
          <w:rFonts w:ascii="Verdana" w:eastAsia="Times New Roman" w:hAnsi="Verdana" w:cs="Calibri"/>
          <w:color w:val="000000"/>
          <w:kern w:val="28"/>
          <w:lang w:eastAsia="en-GB"/>
          <w14:cntxtAlts/>
        </w:rPr>
      </w:pPr>
    </w:p>
    <w:tbl>
      <w:tblPr>
        <w:tblStyle w:val="TableGrid"/>
        <w:tblW w:w="0" w:type="auto"/>
        <w:tblLook w:val="04A0" w:firstRow="1" w:lastRow="0" w:firstColumn="1" w:lastColumn="0" w:noHBand="0" w:noVBand="1"/>
      </w:tblPr>
      <w:tblGrid>
        <w:gridCol w:w="1271"/>
        <w:gridCol w:w="2126"/>
        <w:gridCol w:w="2410"/>
        <w:gridCol w:w="1405"/>
        <w:gridCol w:w="1804"/>
      </w:tblGrid>
      <w:tr w:rsidR="00507F4B" w14:paraId="442E930A" w14:textId="77777777" w:rsidTr="007F17B2">
        <w:tc>
          <w:tcPr>
            <w:tcW w:w="1271" w:type="dxa"/>
            <w:shd w:val="clear" w:color="auto" w:fill="D9D9D9" w:themeFill="background1" w:themeFillShade="D9"/>
          </w:tcPr>
          <w:p w14:paraId="4FA1601D" w14:textId="77777777" w:rsidR="00507F4B" w:rsidRPr="00507F4B" w:rsidRDefault="00507F4B" w:rsidP="007F17B2">
            <w:pPr>
              <w:widowControl w:val="0"/>
              <w:spacing w:after="120"/>
              <w:jc w:val="center"/>
              <w:rPr>
                <w:rFonts w:ascii="Verdana" w:eastAsia="Times New Roman" w:hAnsi="Verdana" w:cs="Calibri"/>
                <w:b/>
                <w:color w:val="000000"/>
                <w:kern w:val="28"/>
                <w:lang w:eastAsia="en-GB"/>
                <w14:cntxtAlts/>
              </w:rPr>
            </w:pPr>
            <w:r w:rsidRPr="00507F4B">
              <w:rPr>
                <w:rFonts w:ascii="Verdana" w:eastAsia="Times New Roman" w:hAnsi="Verdana" w:cs="Calibri"/>
                <w:b/>
                <w:color w:val="000000"/>
                <w:kern w:val="28"/>
                <w:lang w:eastAsia="en-GB"/>
                <w14:cntxtAlts/>
              </w:rPr>
              <w:t>Year</w:t>
            </w:r>
          </w:p>
        </w:tc>
        <w:tc>
          <w:tcPr>
            <w:tcW w:w="2126" w:type="dxa"/>
            <w:shd w:val="clear" w:color="auto" w:fill="D9D9D9" w:themeFill="background1" w:themeFillShade="D9"/>
          </w:tcPr>
          <w:p w14:paraId="7CF11A77" w14:textId="77777777" w:rsidR="00507F4B" w:rsidRPr="00507F4B" w:rsidRDefault="00507F4B" w:rsidP="007F17B2">
            <w:pPr>
              <w:widowControl w:val="0"/>
              <w:spacing w:after="120"/>
              <w:jc w:val="center"/>
              <w:rPr>
                <w:rFonts w:ascii="Verdana" w:eastAsia="Times New Roman" w:hAnsi="Verdana" w:cs="Calibri"/>
                <w:b/>
                <w:color w:val="000000"/>
                <w:kern w:val="28"/>
                <w:lang w:eastAsia="en-GB"/>
                <w14:cntxtAlts/>
              </w:rPr>
            </w:pPr>
            <w:r w:rsidRPr="00507F4B">
              <w:rPr>
                <w:rFonts w:ascii="Verdana" w:eastAsia="Times New Roman" w:hAnsi="Verdana" w:cs="Calibri"/>
                <w:b/>
                <w:color w:val="000000"/>
                <w:kern w:val="28"/>
                <w:lang w:eastAsia="en-GB"/>
                <w14:cntxtAlts/>
              </w:rPr>
              <w:t>Male hourly pay £</w:t>
            </w:r>
          </w:p>
        </w:tc>
        <w:tc>
          <w:tcPr>
            <w:tcW w:w="2410" w:type="dxa"/>
            <w:shd w:val="clear" w:color="auto" w:fill="D9D9D9" w:themeFill="background1" w:themeFillShade="D9"/>
          </w:tcPr>
          <w:p w14:paraId="48913094" w14:textId="77777777" w:rsidR="00507F4B" w:rsidRPr="00507F4B" w:rsidRDefault="00507F4B" w:rsidP="007F17B2">
            <w:pPr>
              <w:widowControl w:val="0"/>
              <w:spacing w:after="120"/>
              <w:jc w:val="center"/>
              <w:rPr>
                <w:rFonts w:ascii="Verdana" w:eastAsia="Times New Roman" w:hAnsi="Verdana" w:cs="Calibri"/>
                <w:b/>
                <w:color w:val="000000"/>
                <w:kern w:val="28"/>
                <w:lang w:eastAsia="en-GB"/>
                <w14:cntxtAlts/>
              </w:rPr>
            </w:pPr>
            <w:r w:rsidRPr="00507F4B">
              <w:rPr>
                <w:rFonts w:ascii="Verdana" w:eastAsia="Times New Roman" w:hAnsi="Verdana" w:cs="Calibri"/>
                <w:b/>
                <w:color w:val="000000"/>
                <w:kern w:val="28"/>
                <w:lang w:eastAsia="en-GB"/>
                <w14:cntxtAlts/>
              </w:rPr>
              <w:t>Female hourly pay £</w:t>
            </w:r>
          </w:p>
        </w:tc>
        <w:tc>
          <w:tcPr>
            <w:tcW w:w="1405" w:type="dxa"/>
            <w:shd w:val="clear" w:color="auto" w:fill="D9D9D9" w:themeFill="background1" w:themeFillShade="D9"/>
          </w:tcPr>
          <w:p w14:paraId="05018698" w14:textId="77777777" w:rsidR="00507F4B" w:rsidRDefault="00507F4B" w:rsidP="007F17B2">
            <w:pPr>
              <w:widowControl w:val="0"/>
              <w:jc w:val="center"/>
              <w:rPr>
                <w:rFonts w:ascii="Verdana" w:eastAsia="Times New Roman" w:hAnsi="Verdana" w:cs="Calibri"/>
                <w:b/>
                <w:color w:val="000000"/>
                <w:kern w:val="28"/>
                <w:lang w:eastAsia="en-GB"/>
                <w14:cntxtAlts/>
              </w:rPr>
            </w:pPr>
            <w:r w:rsidRPr="00507F4B">
              <w:rPr>
                <w:rFonts w:ascii="Verdana" w:eastAsia="Times New Roman" w:hAnsi="Verdana" w:cs="Calibri"/>
                <w:b/>
                <w:color w:val="000000"/>
                <w:kern w:val="28"/>
                <w:lang w:eastAsia="en-GB"/>
                <w14:cntxtAlts/>
              </w:rPr>
              <w:t xml:space="preserve">Pay gap </w:t>
            </w:r>
          </w:p>
          <w:p w14:paraId="26952D1E" w14:textId="77777777" w:rsidR="00507F4B" w:rsidRPr="00507F4B" w:rsidRDefault="00507F4B" w:rsidP="007F17B2">
            <w:pPr>
              <w:widowControl w:val="0"/>
              <w:spacing w:after="120"/>
              <w:jc w:val="center"/>
              <w:rPr>
                <w:rFonts w:ascii="Verdana" w:eastAsia="Times New Roman" w:hAnsi="Verdana" w:cs="Calibri"/>
                <w:b/>
                <w:color w:val="000000"/>
                <w:kern w:val="28"/>
                <w:lang w:eastAsia="en-GB"/>
                <w14:cntxtAlts/>
              </w:rPr>
            </w:pPr>
            <w:r w:rsidRPr="00507F4B">
              <w:rPr>
                <w:rFonts w:ascii="Verdana" w:eastAsia="Times New Roman" w:hAnsi="Verdana" w:cs="Calibri"/>
                <w:b/>
                <w:color w:val="000000"/>
                <w:kern w:val="28"/>
                <w:lang w:eastAsia="en-GB"/>
                <w14:cntxtAlts/>
              </w:rPr>
              <w:t>£</w:t>
            </w:r>
          </w:p>
        </w:tc>
        <w:tc>
          <w:tcPr>
            <w:tcW w:w="1804" w:type="dxa"/>
            <w:shd w:val="clear" w:color="auto" w:fill="D9D9D9" w:themeFill="background1" w:themeFillShade="D9"/>
          </w:tcPr>
          <w:p w14:paraId="43F09EB5" w14:textId="77777777" w:rsidR="00507F4B" w:rsidRDefault="00507F4B" w:rsidP="007F17B2">
            <w:pPr>
              <w:widowControl w:val="0"/>
              <w:jc w:val="center"/>
              <w:rPr>
                <w:rFonts w:ascii="Verdana" w:eastAsia="Times New Roman" w:hAnsi="Verdana" w:cs="Calibri"/>
                <w:b/>
                <w:color w:val="000000"/>
                <w:kern w:val="28"/>
                <w:lang w:eastAsia="en-GB"/>
                <w14:cntxtAlts/>
              </w:rPr>
            </w:pPr>
            <w:r w:rsidRPr="00507F4B">
              <w:rPr>
                <w:rFonts w:ascii="Verdana" w:eastAsia="Times New Roman" w:hAnsi="Verdana" w:cs="Calibri"/>
                <w:b/>
                <w:color w:val="000000"/>
                <w:kern w:val="28"/>
                <w:lang w:eastAsia="en-GB"/>
                <w14:cntxtAlts/>
              </w:rPr>
              <w:t xml:space="preserve">Pay </w:t>
            </w:r>
            <w:r w:rsidR="00E60138">
              <w:rPr>
                <w:rFonts w:ascii="Verdana" w:eastAsia="Times New Roman" w:hAnsi="Verdana" w:cs="Calibri"/>
                <w:b/>
                <w:color w:val="000000"/>
                <w:kern w:val="28"/>
                <w:lang w:eastAsia="en-GB"/>
                <w14:cntxtAlts/>
              </w:rPr>
              <w:t>gap</w:t>
            </w:r>
            <w:r w:rsidRPr="00507F4B">
              <w:rPr>
                <w:rFonts w:ascii="Verdana" w:eastAsia="Times New Roman" w:hAnsi="Verdana" w:cs="Calibri"/>
                <w:b/>
                <w:color w:val="000000"/>
                <w:kern w:val="28"/>
                <w:lang w:eastAsia="en-GB"/>
                <w14:cntxtAlts/>
              </w:rPr>
              <w:t xml:space="preserve"> </w:t>
            </w:r>
          </w:p>
          <w:p w14:paraId="0105522F" w14:textId="77777777" w:rsidR="00507F4B" w:rsidRPr="00507F4B" w:rsidRDefault="00507F4B" w:rsidP="007F17B2">
            <w:pPr>
              <w:widowControl w:val="0"/>
              <w:jc w:val="center"/>
              <w:rPr>
                <w:rFonts w:ascii="Verdana" w:eastAsia="Times New Roman" w:hAnsi="Verdana" w:cs="Calibri"/>
                <w:b/>
                <w:color w:val="000000"/>
                <w:kern w:val="28"/>
                <w:lang w:eastAsia="en-GB"/>
                <w14:cntxtAlts/>
              </w:rPr>
            </w:pPr>
            <w:r w:rsidRPr="00507F4B">
              <w:rPr>
                <w:rFonts w:ascii="Verdana" w:eastAsia="Times New Roman" w:hAnsi="Verdana" w:cs="Calibri"/>
                <w:b/>
                <w:color w:val="000000"/>
                <w:kern w:val="28"/>
                <w:lang w:eastAsia="en-GB"/>
                <w14:cntxtAlts/>
              </w:rPr>
              <w:t>%</w:t>
            </w:r>
          </w:p>
        </w:tc>
      </w:tr>
      <w:tr w:rsidR="004F517D" w14:paraId="2C2DE864" w14:textId="77777777" w:rsidTr="004F517D">
        <w:tc>
          <w:tcPr>
            <w:tcW w:w="1271" w:type="dxa"/>
            <w:shd w:val="clear" w:color="auto" w:fill="FFFFFF" w:themeFill="background1"/>
          </w:tcPr>
          <w:p w14:paraId="6192785F" w14:textId="562E9DAF" w:rsidR="004F517D" w:rsidRPr="004F517D" w:rsidRDefault="004F517D" w:rsidP="004F517D">
            <w:pPr>
              <w:widowControl w:val="0"/>
              <w:spacing w:after="120"/>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2022</w:t>
            </w:r>
          </w:p>
        </w:tc>
        <w:tc>
          <w:tcPr>
            <w:tcW w:w="2126" w:type="dxa"/>
            <w:shd w:val="clear" w:color="auto" w:fill="FFFFFF" w:themeFill="background1"/>
          </w:tcPr>
          <w:p w14:paraId="4B20AECD" w14:textId="0136EEAF" w:rsidR="004F517D" w:rsidRPr="004F517D" w:rsidRDefault="004F517D" w:rsidP="007F17B2">
            <w:pPr>
              <w:widowControl w:val="0"/>
              <w:spacing w:after="12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17.80</w:t>
            </w:r>
          </w:p>
        </w:tc>
        <w:tc>
          <w:tcPr>
            <w:tcW w:w="2410" w:type="dxa"/>
            <w:shd w:val="clear" w:color="auto" w:fill="FFFFFF" w:themeFill="background1"/>
          </w:tcPr>
          <w:p w14:paraId="3FDEC397" w14:textId="5EEE3D09" w:rsidR="004F517D" w:rsidRPr="004F517D" w:rsidRDefault="004F517D" w:rsidP="007F17B2">
            <w:pPr>
              <w:widowControl w:val="0"/>
              <w:spacing w:after="12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15.72</w:t>
            </w:r>
          </w:p>
        </w:tc>
        <w:tc>
          <w:tcPr>
            <w:tcW w:w="1405" w:type="dxa"/>
            <w:shd w:val="clear" w:color="auto" w:fill="FFFFFF" w:themeFill="background1"/>
          </w:tcPr>
          <w:p w14:paraId="60025EE1" w14:textId="154BAB36" w:rsidR="004F517D" w:rsidRPr="004F517D" w:rsidRDefault="004F517D" w:rsidP="007F17B2">
            <w:pPr>
              <w:widowControl w:val="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2.08</w:t>
            </w:r>
          </w:p>
        </w:tc>
        <w:tc>
          <w:tcPr>
            <w:tcW w:w="1804" w:type="dxa"/>
            <w:shd w:val="clear" w:color="auto" w:fill="FFFFFF" w:themeFill="background1"/>
          </w:tcPr>
          <w:p w14:paraId="55FED493" w14:textId="1114D575" w:rsidR="004F517D" w:rsidRPr="004F517D" w:rsidRDefault="004F517D" w:rsidP="007F17B2">
            <w:pPr>
              <w:widowControl w:val="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1</w:t>
            </w:r>
            <w:r w:rsidR="00117378">
              <w:rPr>
                <w:rFonts w:ascii="Verdana" w:eastAsia="Times New Roman" w:hAnsi="Verdana" w:cs="Calibri"/>
                <w:bCs/>
                <w:color w:val="000000"/>
                <w:kern w:val="28"/>
                <w:lang w:eastAsia="en-GB"/>
                <w14:cntxtAlts/>
              </w:rPr>
              <w:t>1.7</w:t>
            </w:r>
          </w:p>
        </w:tc>
      </w:tr>
      <w:tr w:rsidR="00A26A4A" w14:paraId="5F4A65ED" w14:textId="77777777" w:rsidTr="00A26A4A">
        <w:tc>
          <w:tcPr>
            <w:tcW w:w="1271" w:type="dxa"/>
            <w:shd w:val="clear" w:color="auto" w:fill="auto"/>
          </w:tcPr>
          <w:p w14:paraId="22DA2668" w14:textId="3BB80E70" w:rsidR="00A26A4A" w:rsidRPr="00A26A4A" w:rsidRDefault="00A26A4A" w:rsidP="00A26A4A">
            <w:pPr>
              <w:widowControl w:val="0"/>
              <w:spacing w:after="120"/>
              <w:rPr>
                <w:rFonts w:ascii="Verdana" w:eastAsia="Times New Roman" w:hAnsi="Verdana" w:cs="Calibri"/>
                <w:bCs/>
                <w:color w:val="000000"/>
                <w:kern w:val="28"/>
                <w:lang w:eastAsia="en-GB"/>
                <w14:cntxtAlts/>
              </w:rPr>
            </w:pPr>
            <w:r w:rsidRPr="00A26A4A">
              <w:rPr>
                <w:rFonts w:ascii="Verdana" w:eastAsia="Times New Roman" w:hAnsi="Verdana" w:cs="Calibri"/>
                <w:bCs/>
                <w:color w:val="000000"/>
                <w:kern w:val="28"/>
                <w:lang w:eastAsia="en-GB"/>
                <w14:cntxtAlts/>
              </w:rPr>
              <w:t>2021</w:t>
            </w:r>
          </w:p>
        </w:tc>
        <w:tc>
          <w:tcPr>
            <w:tcW w:w="2126" w:type="dxa"/>
            <w:shd w:val="clear" w:color="auto" w:fill="auto"/>
          </w:tcPr>
          <w:p w14:paraId="260039E0" w14:textId="314D6555" w:rsidR="00A26A4A" w:rsidRPr="00A26A4A" w:rsidRDefault="00A26A4A" w:rsidP="007F17B2">
            <w:pPr>
              <w:widowControl w:val="0"/>
              <w:spacing w:after="12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16.93</w:t>
            </w:r>
          </w:p>
        </w:tc>
        <w:tc>
          <w:tcPr>
            <w:tcW w:w="2410" w:type="dxa"/>
            <w:shd w:val="clear" w:color="auto" w:fill="auto"/>
          </w:tcPr>
          <w:p w14:paraId="71B914E6" w14:textId="08F63684" w:rsidR="00A26A4A" w:rsidRPr="00A26A4A" w:rsidRDefault="00A26A4A" w:rsidP="007F17B2">
            <w:pPr>
              <w:widowControl w:val="0"/>
              <w:spacing w:after="12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15.40</w:t>
            </w:r>
          </w:p>
        </w:tc>
        <w:tc>
          <w:tcPr>
            <w:tcW w:w="1405" w:type="dxa"/>
            <w:shd w:val="clear" w:color="auto" w:fill="auto"/>
          </w:tcPr>
          <w:p w14:paraId="6463A32E" w14:textId="3FCC59CA" w:rsidR="00A26A4A" w:rsidRPr="00A26A4A" w:rsidRDefault="00A26A4A" w:rsidP="007F17B2">
            <w:pPr>
              <w:widowControl w:val="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1.53</w:t>
            </w:r>
          </w:p>
        </w:tc>
        <w:tc>
          <w:tcPr>
            <w:tcW w:w="1804" w:type="dxa"/>
            <w:shd w:val="clear" w:color="auto" w:fill="auto"/>
          </w:tcPr>
          <w:p w14:paraId="5D77FDA4" w14:textId="1753D3B4" w:rsidR="00A26A4A" w:rsidRPr="00A26A4A" w:rsidRDefault="00A26A4A" w:rsidP="007F17B2">
            <w:pPr>
              <w:widowControl w:val="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9.0</w:t>
            </w:r>
          </w:p>
        </w:tc>
      </w:tr>
      <w:tr w:rsidR="0040635A" w14:paraId="7FC60780" w14:textId="77777777" w:rsidTr="007F17B2">
        <w:tc>
          <w:tcPr>
            <w:tcW w:w="1271" w:type="dxa"/>
          </w:tcPr>
          <w:p w14:paraId="0F145DB2" w14:textId="48F3342D" w:rsidR="0040635A" w:rsidRDefault="0040635A" w:rsidP="0040635A">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2020</w:t>
            </w:r>
          </w:p>
        </w:tc>
        <w:tc>
          <w:tcPr>
            <w:tcW w:w="2126" w:type="dxa"/>
          </w:tcPr>
          <w:p w14:paraId="1B5B22B3" w14:textId="2E3473B8" w:rsidR="0040635A" w:rsidRDefault="0040635A" w:rsidP="0040635A">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17.83</w:t>
            </w:r>
          </w:p>
        </w:tc>
        <w:tc>
          <w:tcPr>
            <w:tcW w:w="2410" w:type="dxa"/>
          </w:tcPr>
          <w:p w14:paraId="124EE6E0" w14:textId="1F90FC6B" w:rsidR="0040635A" w:rsidRDefault="0040635A" w:rsidP="0040635A">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15.</w:t>
            </w:r>
            <w:r w:rsidR="00480A37">
              <w:rPr>
                <w:rFonts w:ascii="Verdana" w:eastAsia="Times New Roman" w:hAnsi="Verdana" w:cs="Calibri"/>
                <w:color w:val="000000"/>
                <w:kern w:val="28"/>
                <w:lang w:eastAsia="en-GB"/>
                <w14:cntxtAlts/>
              </w:rPr>
              <w:t>1</w:t>
            </w:r>
            <w:r>
              <w:rPr>
                <w:rFonts w:ascii="Verdana" w:eastAsia="Times New Roman" w:hAnsi="Verdana" w:cs="Calibri"/>
                <w:color w:val="000000"/>
                <w:kern w:val="28"/>
                <w:lang w:eastAsia="en-GB"/>
                <w14:cntxtAlts/>
              </w:rPr>
              <w:t>0</w:t>
            </w:r>
          </w:p>
        </w:tc>
        <w:tc>
          <w:tcPr>
            <w:tcW w:w="1405" w:type="dxa"/>
          </w:tcPr>
          <w:p w14:paraId="77FBDB8A" w14:textId="72DB68A2" w:rsidR="0040635A" w:rsidRDefault="0040635A" w:rsidP="0040635A">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w:t>
            </w:r>
            <w:r w:rsidR="00FB2675">
              <w:rPr>
                <w:rFonts w:ascii="Verdana" w:eastAsia="Times New Roman" w:hAnsi="Verdana" w:cs="Calibri"/>
                <w:color w:val="000000"/>
                <w:kern w:val="28"/>
                <w:lang w:eastAsia="en-GB"/>
                <w14:cntxtAlts/>
              </w:rPr>
              <w:t>73</w:t>
            </w:r>
          </w:p>
        </w:tc>
        <w:tc>
          <w:tcPr>
            <w:tcW w:w="1804" w:type="dxa"/>
          </w:tcPr>
          <w:p w14:paraId="142237DE" w14:textId="6DEC74F2" w:rsidR="0040635A" w:rsidRDefault="0040635A" w:rsidP="0040635A">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15.3</w:t>
            </w:r>
          </w:p>
        </w:tc>
      </w:tr>
      <w:tr w:rsidR="0080519D" w14:paraId="360BBB19" w14:textId="77777777" w:rsidTr="007F17B2">
        <w:tc>
          <w:tcPr>
            <w:tcW w:w="1271" w:type="dxa"/>
          </w:tcPr>
          <w:p w14:paraId="49CBC8CA" w14:textId="705BE04F" w:rsidR="0080519D" w:rsidRDefault="009A4F10" w:rsidP="009D7AF6">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2019</w:t>
            </w:r>
          </w:p>
        </w:tc>
        <w:tc>
          <w:tcPr>
            <w:tcW w:w="2126" w:type="dxa"/>
          </w:tcPr>
          <w:p w14:paraId="29E2D0BD" w14:textId="77777777" w:rsidR="0080519D" w:rsidRDefault="009A4F10" w:rsidP="009D7AF6">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16.55</w:t>
            </w:r>
          </w:p>
        </w:tc>
        <w:tc>
          <w:tcPr>
            <w:tcW w:w="2410" w:type="dxa"/>
          </w:tcPr>
          <w:p w14:paraId="7D6EB6F3" w14:textId="77777777" w:rsidR="0080519D" w:rsidRDefault="009A4F10" w:rsidP="009D7AF6">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14.83</w:t>
            </w:r>
          </w:p>
        </w:tc>
        <w:tc>
          <w:tcPr>
            <w:tcW w:w="1405" w:type="dxa"/>
          </w:tcPr>
          <w:p w14:paraId="1B6D95BF" w14:textId="77777777" w:rsidR="0080519D" w:rsidRDefault="009A4F10" w:rsidP="009D7AF6">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1.72</w:t>
            </w:r>
          </w:p>
        </w:tc>
        <w:tc>
          <w:tcPr>
            <w:tcW w:w="1804" w:type="dxa"/>
          </w:tcPr>
          <w:p w14:paraId="56167177" w14:textId="77777777" w:rsidR="0080519D" w:rsidRDefault="003C5253" w:rsidP="0028046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10.4</w:t>
            </w:r>
          </w:p>
        </w:tc>
      </w:tr>
      <w:tr w:rsidR="009D7AF6" w14:paraId="4ACB1035" w14:textId="77777777" w:rsidTr="007F17B2">
        <w:tc>
          <w:tcPr>
            <w:tcW w:w="1271" w:type="dxa"/>
          </w:tcPr>
          <w:p w14:paraId="7B1571E4" w14:textId="18C848B4" w:rsidR="009D7AF6" w:rsidRDefault="009D7AF6" w:rsidP="009D7AF6">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2018</w:t>
            </w:r>
          </w:p>
        </w:tc>
        <w:tc>
          <w:tcPr>
            <w:tcW w:w="2126" w:type="dxa"/>
          </w:tcPr>
          <w:p w14:paraId="00BF206F" w14:textId="77777777" w:rsidR="009D7AF6" w:rsidRDefault="003B66A7" w:rsidP="009D7AF6">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16.16</w:t>
            </w:r>
          </w:p>
        </w:tc>
        <w:tc>
          <w:tcPr>
            <w:tcW w:w="2410" w:type="dxa"/>
          </w:tcPr>
          <w:p w14:paraId="3F4BE551" w14:textId="77777777" w:rsidR="009D7AF6" w:rsidRDefault="0031622D" w:rsidP="009D7AF6">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14.26</w:t>
            </w:r>
          </w:p>
        </w:tc>
        <w:tc>
          <w:tcPr>
            <w:tcW w:w="1405" w:type="dxa"/>
          </w:tcPr>
          <w:p w14:paraId="5DA92799" w14:textId="77777777" w:rsidR="009D7AF6" w:rsidRDefault="003B66A7" w:rsidP="009D7AF6">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1.90</w:t>
            </w:r>
          </w:p>
        </w:tc>
        <w:tc>
          <w:tcPr>
            <w:tcW w:w="1804" w:type="dxa"/>
          </w:tcPr>
          <w:p w14:paraId="3D60EF59" w14:textId="77777777" w:rsidR="009D7AF6" w:rsidRDefault="003C5253" w:rsidP="0028046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11.8</w:t>
            </w:r>
          </w:p>
        </w:tc>
      </w:tr>
      <w:tr w:rsidR="00507F4B" w14:paraId="4D7D02B2" w14:textId="77777777" w:rsidTr="007F17B2">
        <w:tc>
          <w:tcPr>
            <w:tcW w:w="1271" w:type="dxa"/>
          </w:tcPr>
          <w:p w14:paraId="6B39AA27" w14:textId="414F1C1F" w:rsidR="00507F4B" w:rsidRDefault="00507F4B" w:rsidP="007F17B2">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2017</w:t>
            </w:r>
          </w:p>
        </w:tc>
        <w:tc>
          <w:tcPr>
            <w:tcW w:w="2126" w:type="dxa"/>
          </w:tcPr>
          <w:p w14:paraId="1E417F66" w14:textId="77777777" w:rsidR="00507F4B" w:rsidRDefault="00507F4B"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15.74</w:t>
            </w:r>
          </w:p>
        </w:tc>
        <w:tc>
          <w:tcPr>
            <w:tcW w:w="2410" w:type="dxa"/>
          </w:tcPr>
          <w:p w14:paraId="51C12ED1" w14:textId="77777777" w:rsidR="00507F4B" w:rsidRDefault="00507F4B"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14.07</w:t>
            </w:r>
          </w:p>
        </w:tc>
        <w:tc>
          <w:tcPr>
            <w:tcW w:w="1405" w:type="dxa"/>
          </w:tcPr>
          <w:p w14:paraId="7B2DDBB1" w14:textId="77777777" w:rsidR="00507F4B" w:rsidRDefault="00507F4B"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1.67</w:t>
            </w:r>
          </w:p>
        </w:tc>
        <w:tc>
          <w:tcPr>
            <w:tcW w:w="1804" w:type="dxa"/>
          </w:tcPr>
          <w:p w14:paraId="2952185A" w14:textId="77777777" w:rsidR="00507F4B" w:rsidRDefault="003C5253"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10.6</w:t>
            </w:r>
          </w:p>
        </w:tc>
      </w:tr>
    </w:tbl>
    <w:p w14:paraId="4FDD43E0" w14:textId="77777777" w:rsidR="001113C2" w:rsidRDefault="001113C2" w:rsidP="00C65A4B">
      <w:pPr>
        <w:widowControl w:val="0"/>
        <w:spacing w:after="0"/>
        <w:ind w:firstLine="720"/>
        <w:rPr>
          <w:rFonts w:ascii="Verdana" w:eastAsia="Times New Roman" w:hAnsi="Verdana" w:cs="Calibri"/>
          <w:i/>
          <w:color w:val="000000"/>
          <w:kern w:val="28"/>
          <w:lang w:eastAsia="en-GB"/>
          <w14:cntxtAlts/>
        </w:rPr>
      </w:pPr>
    </w:p>
    <w:p w14:paraId="7681C0B6" w14:textId="70B2E2DF" w:rsidR="007E41FC" w:rsidRPr="00720F73" w:rsidRDefault="00A52223" w:rsidP="00526BCF">
      <w:pPr>
        <w:widowControl w:val="0"/>
        <w:spacing w:after="0"/>
        <w:rPr>
          <w:rFonts w:ascii="Verdana" w:eastAsia="Times New Roman" w:hAnsi="Verdana" w:cs="Calibri"/>
          <w:color w:val="FF0000"/>
          <w:kern w:val="28"/>
          <w:lang w:eastAsia="en-GB"/>
          <w14:cntxtAlts/>
        </w:rPr>
      </w:pPr>
      <w:r w:rsidRPr="004D4118">
        <w:rPr>
          <w:rFonts w:ascii="Verdana" w:eastAsia="Times New Roman" w:hAnsi="Verdana" w:cs="Calibri"/>
          <w:color w:val="000000"/>
          <w:kern w:val="28"/>
          <w:lang w:eastAsia="en-GB"/>
          <w14:cntxtAlts/>
        </w:rPr>
        <w:t>In comparison, for 20</w:t>
      </w:r>
      <w:r w:rsidR="00720F73">
        <w:rPr>
          <w:rFonts w:ascii="Verdana" w:eastAsia="Times New Roman" w:hAnsi="Verdana" w:cs="Calibri"/>
          <w:color w:val="000000"/>
          <w:kern w:val="28"/>
          <w:lang w:eastAsia="en-GB"/>
          <w14:cntxtAlts/>
        </w:rPr>
        <w:t>2</w:t>
      </w:r>
      <w:r w:rsidR="00225C80">
        <w:rPr>
          <w:rFonts w:ascii="Verdana" w:eastAsia="Times New Roman" w:hAnsi="Verdana" w:cs="Calibri"/>
          <w:color w:val="000000"/>
          <w:kern w:val="28"/>
          <w:lang w:eastAsia="en-GB"/>
          <w14:cntxtAlts/>
        </w:rPr>
        <w:t>1</w:t>
      </w:r>
      <w:r w:rsidR="00F74631">
        <w:rPr>
          <w:rFonts w:ascii="Verdana" w:eastAsia="Times New Roman" w:hAnsi="Verdana" w:cs="Calibri"/>
          <w:color w:val="000000"/>
          <w:kern w:val="28"/>
          <w:lang w:eastAsia="en-GB"/>
          <w14:cntxtAlts/>
        </w:rPr>
        <w:t xml:space="preserve"> </w:t>
      </w:r>
      <w:r w:rsidRPr="004D4118">
        <w:rPr>
          <w:rFonts w:ascii="Verdana" w:eastAsia="Times New Roman" w:hAnsi="Verdana" w:cs="Calibri"/>
          <w:color w:val="000000"/>
          <w:kern w:val="28"/>
          <w:lang w:eastAsia="en-GB"/>
          <w14:cntxtAlts/>
        </w:rPr>
        <w:t>t</w:t>
      </w:r>
      <w:r w:rsidR="007E41FC" w:rsidRPr="004D4118">
        <w:rPr>
          <w:rFonts w:ascii="Verdana" w:eastAsia="Times New Roman" w:hAnsi="Verdana" w:cs="Calibri"/>
          <w:color w:val="000000"/>
          <w:kern w:val="28"/>
          <w:lang w:eastAsia="en-GB"/>
          <w14:cntxtAlts/>
        </w:rPr>
        <w:t xml:space="preserve">he median gender pay gap </w:t>
      </w:r>
      <w:r w:rsidRPr="004D4118">
        <w:rPr>
          <w:rFonts w:ascii="Verdana" w:eastAsia="Times New Roman" w:hAnsi="Verdana" w:cs="Calibri"/>
          <w:color w:val="000000"/>
          <w:kern w:val="28"/>
          <w:lang w:eastAsia="en-GB"/>
          <w14:cntxtAlts/>
        </w:rPr>
        <w:t>wa</w:t>
      </w:r>
      <w:r w:rsidR="007E41FC" w:rsidRPr="004D4118">
        <w:rPr>
          <w:rFonts w:ascii="Verdana" w:eastAsia="Times New Roman" w:hAnsi="Verdana" w:cs="Calibri"/>
          <w:color w:val="000000"/>
          <w:kern w:val="28"/>
          <w:lang w:eastAsia="en-GB"/>
          <w14:cntxtAlts/>
        </w:rPr>
        <w:t xml:space="preserve">s </w:t>
      </w:r>
      <w:r w:rsidR="00225C80">
        <w:rPr>
          <w:rFonts w:ascii="Verdana" w:eastAsia="Times New Roman" w:hAnsi="Verdana" w:cs="Calibri"/>
          <w:color w:val="000000"/>
          <w:kern w:val="28"/>
          <w:lang w:eastAsia="en-GB"/>
          <w14:cntxtAlts/>
        </w:rPr>
        <w:t>9.0</w:t>
      </w:r>
      <w:r w:rsidR="00F74631">
        <w:rPr>
          <w:rFonts w:ascii="Verdana" w:eastAsia="Times New Roman" w:hAnsi="Verdana" w:cs="Calibri"/>
          <w:color w:val="000000"/>
          <w:kern w:val="28"/>
          <w:lang w:eastAsia="en-GB"/>
          <w14:cntxtAlts/>
        </w:rPr>
        <w:t xml:space="preserve"> p</w:t>
      </w:r>
      <w:r w:rsidR="004A0D98" w:rsidRPr="004D4118">
        <w:rPr>
          <w:rFonts w:ascii="Verdana" w:eastAsia="Times New Roman" w:hAnsi="Verdana" w:cs="Calibri"/>
          <w:color w:val="000000"/>
          <w:kern w:val="28"/>
          <w:lang w:eastAsia="en-GB"/>
          <w14:cntxtAlts/>
        </w:rPr>
        <w:t>er cent</w:t>
      </w:r>
      <w:r w:rsidR="00F74631">
        <w:rPr>
          <w:rFonts w:ascii="Verdana" w:eastAsia="Times New Roman" w:hAnsi="Verdana" w:cs="Calibri"/>
          <w:color w:val="000000"/>
          <w:kern w:val="28"/>
          <w:lang w:eastAsia="en-GB"/>
          <w14:cntxtAlts/>
        </w:rPr>
        <w:t>. This meant that male employees earn</w:t>
      </w:r>
      <w:r w:rsidR="0000150A">
        <w:rPr>
          <w:rFonts w:ascii="Verdana" w:eastAsia="Times New Roman" w:hAnsi="Verdana" w:cs="Calibri"/>
          <w:color w:val="000000"/>
          <w:kern w:val="28"/>
          <w:lang w:eastAsia="en-GB"/>
          <w14:cntxtAlts/>
        </w:rPr>
        <w:t>ed</w:t>
      </w:r>
      <w:r w:rsidR="00F74631">
        <w:rPr>
          <w:rFonts w:ascii="Verdana" w:eastAsia="Times New Roman" w:hAnsi="Verdana" w:cs="Calibri"/>
          <w:color w:val="000000"/>
          <w:kern w:val="28"/>
          <w:lang w:eastAsia="en-GB"/>
          <w14:cntxtAlts/>
        </w:rPr>
        <w:t xml:space="preserve"> </w:t>
      </w:r>
      <w:r w:rsidR="00720F73">
        <w:rPr>
          <w:rFonts w:ascii="Verdana" w:eastAsia="Times New Roman" w:hAnsi="Verdana" w:cs="Calibri"/>
          <w:color w:val="000000"/>
          <w:kern w:val="28"/>
          <w:lang w:eastAsia="en-GB"/>
          <w14:cntxtAlts/>
        </w:rPr>
        <w:t>£</w:t>
      </w:r>
      <w:r w:rsidR="00225C80">
        <w:rPr>
          <w:rFonts w:ascii="Verdana" w:eastAsia="Times New Roman" w:hAnsi="Verdana" w:cs="Calibri"/>
          <w:color w:val="000000"/>
          <w:kern w:val="28"/>
          <w:lang w:eastAsia="en-GB"/>
          <w14:cntxtAlts/>
        </w:rPr>
        <w:t>1</w:t>
      </w:r>
      <w:r w:rsidR="00F74631">
        <w:rPr>
          <w:rFonts w:ascii="Verdana" w:eastAsia="Times New Roman" w:hAnsi="Verdana" w:cs="Calibri"/>
          <w:color w:val="000000"/>
          <w:kern w:val="28"/>
          <w:lang w:eastAsia="en-GB"/>
          <w14:cntxtAlts/>
        </w:rPr>
        <w:t>.</w:t>
      </w:r>
      <w:r w:rsidR="00225C80">
        <w:rPr>
          <w:rFonts w:ascii="Verdana" w:eastAsia="Times New Roman" w:hAnsi="Verdana" w:cs="Calibri"/>
          <w:color w:val="000000"/>
          <w:kern w:val="28"/>
          <w:lang w:eastAsia="en-GB"/>
          <w14:cntxtAlts/>
        </w:rPr>
        <w:t>5</w:t>
      </w:r>
      <w:r w:rsidR="00720F73">
        <w:rPr>
          <w:rFonts w:ascii="Verdana" w:eastAsia="Times New Roman" w:hAnsi="Verdana" w:cs="Calibri"/>
          <w:color w:val="000000"/>
          <w:kern w:val="28"/>
          <w:lang w:eastAsia="en-GB"/>
          <w14:cntxtAlts/>
        </w:rPr>
        <w:t>3</w:t>
      </w:r>
      <w:r w:rsidR="00F74631">
        <w:rPr>
          <w:rFonts w:ascii="Verdana" w:eastAsia="Times New Roman" w:hAnsi="Verdana" w:cs="Calibri"/>
          <w:color w:val="000000"/>
          <w:kern w:val="28"/>
          <w:lang w:eastAsia="en-GB"/>
          <w14:cntxtAlts/>
        </w:rPr>
        <w:t xml:space="preserve"> per hour more than females</w:t>
      </w:r>
      <w:r w:rsidR="00A87E49">
        <w:rPr>
          <w:rFonts w:ascii="Verdana" w:eastAsia="Times New Roman" w:hAnsi="Verdana" w:cs="Calibri"/>
          <w:color w:val="000000"/>
          <w:kern w:val="28"/>
          <w:lang w:eastAsia="en-GB"/>
          <w14:cntxtAlts/>
        </w:rPr>
        <w:t xml:space="preserve"> during this year</w:t>
      </w:r>
      <w:r w:rsidR="00720F73">
        <w:rPr>
          <w:rFonts w:ascii="Verdana" w:eastAsia="Times New Roman" w:hAnsi="Verdana" w:cs="Calibri"/>
          <w:color w:val="000000"/>
          <w:kern w:val="28"/>
          <w:lang w:eastAsia="en-GB"/>
          <w14:cntxtAlts/>
        </w:rPr>
        <w:t>.</w:t>
      </w:r>
    </w:p>
    <w:p w14:paraId="6ACB0C3D" w14:textId="77777777" w:rsidR="006E515C" w:rsidRDefault="006E515C" w:rsidP="006E515C">
      <w:pPr>
        <w:widowControl w:val="0"/>
        <w:spacing w:after="0"/>
        <w:rPr>
          <w:rFonts w:ascii="Verdana" w:eastAsia="Times New Roman" w:hAnsi="Verdana" w:cs="Calibri"/>
          <w:b/>
          <w:bCs/>
          <w:color w:val="000000"/>
          <w:kern w:val="28"/>
          <w:lang w:eastAsia="en-GB"/>
          <w14:cntxtAlts/>
        </w:rPr>
      </w:pPr>
    </w:p>
    <w:p w14:paraId="0AA15F66" w14:textId="77777777" w:rsidR="007E41FC" w:rsidRPr="00A52223" w:rsidRDefault="007E41FC" w:rsidP="009B29F3">
      <w:pPr>
        <w:widowControl w:val="0"/>
        <w:rPr>
          <w:rFonts w:ascii="Verdana" w:eastAsia="Times New Roman" w:hAnsi="Verdana" w:cs="Calibri"/>
          <w:b/>
          <w:bCs/>
          <w:color w:val="000000"/>
          <w:kern w:val="28"/>
          <w:lang w:eastAsia="en-GB"/>
          <w14:cntxtAlts/>
        </w:rPr>
      </w:pPr>
      <w:r w:rsidRPr="00A52223">
        <w:rPr>
          <w:rFonts w:ascii="Verdana" w:eastAsia="Times New Roman" w:hAnsi="Verdana" w:cs="Calibri"/>
          <w:b/>
          <w:bCs/>
          <w:color w:val="000000"/>
          <w:kern w:val="28"/>
          <w:lang w:eastAsia="en-GB"/>
          <w14:cntxtAlts/>
        </w:rPr>
        <w:t xml:space="preserve">3. Mean bonus gap </w:t>
      </w:r>
    </w:p>
    <w:p w14:paraId="6BD57A6F" w14:textId="6E6FC57A" w:rsidR="00507F4B" w:rsidRDefault="007E41FC" w:rsidP="00A52223">
      <w:pPr>
        <w:widowControl w:val="0"/>
        <w:spacing w:after="120"/>
        <w:rPr>
          <w:rFonts w:ascii="Verdana" w:eastAsia="Times New Roman" w:hAnsi="Verdana" w:cs="Calibri"/>
          <w:color w:val="000000"/>
          <w:kern w:val="28"/>
          <w:lang w:eastAsia="en-GB"/>
          <w14:cntxtAlts/>
        </w:rPr>
      </w:pPr>
      <w:r w:rsidRPr="00A52223">
        <w:rPr>
          <w:rFonts w:ascii="Verdana" w:eastAsia="Times New Roman" w:hAnsi="Verdana" w:cs="Calibri"/>
          <w:color w:val="000000"/>
          <w:kern w:val="28"/>
          <w:lang w:eastAsia="en-GB"/>
          <w14:cntxtAlts/>
        </w:rPr>
        <w:t>The difference between the mean bonus paid to male relevant employees and female relevant employees. </w:t>
      </w:r>
    </w:p>
    <w:p w14:paraId="7862F3FE" w14:textId="147D04C2" w:rsidR="00950888" w:rsidRPr="004A7474" w:rsidRDefault="00950888" w:rsidP="00A52223">
      <w:pPr>
        <w:widowControl w:val="0"/>
        <w:spacing w:after="120"/>
        <w:rPr>
          <w:rFonts w:ascii="Verdana" w:eastAsia="Times New Roman" w:hAnsi="Verdana" w:cs="Calibri"/>
          <w:kern w:val="28"/>
          <w:lang w:eastAsia="en-GB"/>
          <w14:cntxtAlts/>
        </w:rPr>
      </w:pPr>
      <w:r w:rsidRPr="004A7474">
        <w:rPr>
          <w:rFonts w:ascii="Verdana" w:eastAsia="Times New Roman" w:hAnsi="Verdana" w:cs="Calibri"/>
          <w:kern w:val="28"/>
          <w:lang w:eastAsia="en-GB"/>
          <w14:cntxtAlts/>
        </w:rPr>
        <w:t>For 202</w:t>
      </w:r>
      <w:r w:rsidR="00A87E49">
        <w:rPr>
          <w:rFonts w:ascii="Verdana" w:eastAsia="Times New Roman" w:hAnsi="Verdana" w:cs="Calibri"/>
          <w:kern w:val="28"/>
          <w:lang w:eastAsia="en-GB"/>
          <w14:cntxtAlts/>
        </w:rPr>
        <w:t>2</w:t>
      </w:r>
      <w:r w:rsidRPr="004A7474">
        <w:rPr>
          <w:rFonts w:ascii="Verdana" w:eastAsia="Times New Roman" w:hAnsi="Verdana" w:cs="Calibri"/>
          <w:kern w:val="28"/>
          <w:lang w:eastAsia="en-GB"/>
          <w14:cntxtAlts/>
        </w:rPr>
        <w:t xml:space="preserve">, the mean bonus gap is </w:t>
      </w:r>
      <w:r w:rsidR="00A87E49">
        <w:rPr>
          <w:rFonts w:ascii="Verdana" w:eastAsia="Times New Roman" w:hAnsi="Verdana" w:cs="Calibri"/>
          <w:kern w:val="28"/>
          <w:lang w:eastAsia="en-GB"/>
          <w14:cntxtAlts/>
        </w:rPr>
        <w:t>-90.6</w:t>
      </w:r>
      <w:r w:rsidRPr="004A7474">
        <w:rPr>
          <w:rFonts w:ascii="Verdana" w:eastAsia="Times New Roman" w:hAnsi="Verdana" w:cs="Calibri"/>
          <w:kern w:val="28"/>
          <w:lang w:eastAsia="en-GB"/>
          <w14:cntxtAlts/>
        </w:rPr>
        <w:t xml:space="preserve"> per cent. T</w:t>
      </w:r>
      <w:r w:rsidR="00A87E49">
        <w:rPr>
          <w:rFonts w:ascii="Verdana" w:eastAsia="Times New Roman" w:hAnsi="Verdana" w:cs="Calibri"/>
          <w:kern w:val="28"/>
          <w:lang w:eastAsia="en-GB"/>
          <w14:cntxtAlts/>
        </w:rPr>
        <w:t>his</w:t>
      </w:r>
      <w:r w:rsidR="004A7474" w:rsidRPr="004A7474">
        <w:rPr>
          <w:rFonts w:ascii="Verdana" w:eastAsia="Times New Roman" w:hAnsi="Verdana" w:cs="Calibri"/>
          <w:kern w:val="28"/>
          <w:lang w:eastAsia="en-GB"/>
          <w14:cntxtAlts/>
        </w:rPr>
        <w:t xml:space="preserve"> mean</w:t>
      </w:r>
      <w:r w:rsidR="00A87E49">
        <w:rPr>
          <w:rFonts w:ascii="Verdana" w:eastAsia="Times New Roman" w:hAnsi="Verdana" w:cs="Calibri"/>
          <w:kern w:val="28"/>
          <w:lang w:eastAsia="en-GB"/>
          <w14:cntxtAlts/>
        </w:rPr>
        <w:t>s</w:t>
      </w:r>
      <w:r w:rsidR="004A7474" w:rsidRPr="004A7474">
        <w:rPr>
          <w:rFonts w:ascii="Verdana" w:eastAsia="Times New Roman" w:hAnsi="Verdana" w:cs="Calibri"/>
          <w:kern w:val="28"/>
          <w:lang w:eastAsia="en-GB"/>
          <w14:cntxtAlts/>
        </w:rPr>
        <w:t xml:space="preserve"> </w:t>
      </w:r>
      <w:r w:rsidR="00A87E49">
        <w:rPr>
          <w:rFonts w:ascii="Verdana" w:eastAsia="Times New Roman" w:hAnsi="Verdana" w:cs="Calibri"/>
          <w:kern w:val="28"/>
          <w:lang w:eastAsia="en-GB"/>
          <w14:cntxtAlts/>
        </w:rPr>
        <w:t>that on average, males earn</w:t>
      </w:r>
      <w:r w:rsidR="0000150A">
        <w:rPr>
          <w:rFonts w:ascii="Verdana" w:eastAsia="Times New Roman" w:hAnsi="Verdana" w:cs="Calibri"/>
          <w:kern w:val="28"/>
          <w:lang w:eastAsia="en-GB"/>
          <w14:cntxtAlts/>
        </w:rPr>
        <w:t>ed</w:t>
      </w:r>
      <w:r w:rsidR="00A87E49">
        <w:rPr>
          <w:rFonts w:ascii="Verdana" w:eastAsia="Times New Roman" w:hAnsi="Verdana" w:cs="Calibri"/>
          <w:kern w:val="28"/>
          <w:lang w:eastAsia="en-GB"/>
          <w14:cntxtAlts/>
        </w:rPr>
        <w:t xml:space="preserve"> £2.04 less than females on bonus payments.</w:t>
      </w:r>
      <w:r w:rsidR="004A7474" w:rsidRPr="004A7474">
        <w:rPr>
          <w:rFonts w:ascii="Verdana" w:eastAsia="Times New Roman" w:hAnsi="Verdana" w:cs="Calibri"/>
          <w:kern w:val="28"/>
          <w:lang w:eastAsia="en-GB"/>
          <w14:cntxtAlts/>
        </w:rPr>
        <w:t xml:space="preserve"> </w:t>
      </w:r>
    </w:p>
    <w:tbl>
      <w:tblPr>
        <w:tblStyle w:val="TableGrid"/>
        <w:tblW w:w="0" w:type="auto"/>
        <w:tblLook w:val="04A0" w:firstRow="1" w:lastRow="0" w:firstColumn="1" w:lastColumn="0" w:noHBand="0" w:noVBand="1"/>
      </w:tblPr>
      <w:tblGrid>
        <w:gridCol w:w="1271"/>
        <w:gridCol w:w="2126"/>
        <w:gridCol w:w="2410"/>
        <w:gridCol w:w="1405"/>
        <w:gridCol w:w="1804"/>
      </w:tblGrid>
      <w:tr w:rsidR="00507F4B" w14:paraId="0CC023C2" w14:textId="77777777" w:rsidTr="007F17B2">
        <w:tc>
          <w:tcPr>
            <w:tcW w:w="1271" w:type="dxa"/>
            <w:shd w:val="clear" w:color="auto" w:fill="D9D9D9" w:themeFill="background1" w:themeFillShade="D9"/>
          </w:tcPr>
          <w:p w14:paraId="2360F63E" w14:textId="77777777" w:rsidR="00507F4B" w:rsidRPr="00507F4B" w:rsidRDefault="00507F4B" w:rsidP="007F17B2">
            <w:pPr>
              <w:widowControl w:val="0"/>
              <w:spacing w:after="120"/>
              <w:jc w:val="center"/>
              <w:rPr>
                <w:rFonts w:ascii="Verdana" w:eastAsia="Times New Roman" w:hAnsi="Verdana" w:cs="Calibri"/>
                <w:b/>
                <w:color w:val="000000"/>
                <w:kern w:val="28"/>
                <w:lang w:eastAsia="en-GB"/>
                <w14:cntxtAlts/>
              </w:rPr>
            </w:pPr>
            <w:r w:rsidRPr="00507F4B">
              <w:rPr>
                <w:rFonts w:ascii="Verdana" w:eastAsia="Times New Roman" w:hAnsi="Verdana" w:cs="Calibri"/>
                <w:b/>
                <w:color w:val="000000"/>
                <w:kern w:val="28"/>
                <w:lang w:eastAsia="en-GB"/>
                <w14:cntxtAlts/>
              </w:rPr>
              <w:t>Year</w:t>
            </w:r>
          </w:p>
        </w:tc>
        <w:tc>
          <w:tcPr>
            <w:tcW w:w="2126" w:type="dxa"/>
            <w:shd w:val="clear" w:color="auto" w:fill="D9D9D9" w:themeFill="background1" w:themeFillShade="D9"/>
          </w:tcPr>
          <w:p w14:paraId="59D36B49" w14:textId="77777777" w:rsidR="00507F4B" w:rsidRPr="00507F4B" w:rsidRDefault="00507F4B" w:rsidP="00507F4B">
            <w:pPr>
              <w:widowControl w:val="0"/>
              <w:spacing w:after="120"/>
              <w:jc w:val="center"/>
              <w:rPr>
                <w:rFonts w:ascii="Verdana" w:eastAsia="Times New Roman" w:hAnsi="Verdana" w:cs="Calibri"/>
                <w:b/>
                <w:color w:val="000000"/>
                <w:kern w:val="28"/>
                <w:lang w:eastAsia="en-GB"/>
                <w14:cntxtAlts/>
              </w:rPr>
            </w:pPr>
            <w:r w:rsidRPr="00507F4B">
              <w:rPr>
                <w:rFonts w:ascii="Verdana" w:eastAsia="Times New Roman" w:hAnsi="Verdana" w:cs="Calibri"/>
                <w:b/>
                <w:color w:val="000000"/>
                <w:kern w:val="28"/>
                <w:lang w:eastAsia="en-GB"/>
                <w14:cntxtAlts/>
              </w:rPr>
              <w:t xml:space="preserve">Male </w:t>
            </w:r>
            <w:proofErr w:type="gramStart"/>
            <w:r>
              <w:rPr>
                <w:rFonts w:ascii="Verdana" w:eastAsia="Times New Roman" w:hAnsi="Verdana" w:cs="Calibri"/>
                <w:b/>
                <w:color w:val="000000"/>
                <w:kern w:val="28"/>
                <w:lang w:eastAsia="en-GB"/>
                <w14:cntxtAlts/>
              </w:rPr>
              <w:t>bonus</w:t>
            </w:r>
            <w:proofErr w:type="gramEnd"/>
            <w:r w:rsidRPr="00507F4B">
              <w:rPr>
                <w:rFonts w:ascii="Verdana" w:eastAsia="Times New Roman" w:hAnsi="Verdana" w:cs="Calibri"/>
                <w:b/>
                <w:color w:val="000000"/>
                <w:kern w:val="28"/>
                <w:lang w:eastAsia="en-GB"/>
                <w14:cntxtAlts/>
              </w:rPr>
              <w:t xml:space="preserve"> pay £</w:t>
            </w:r>
          </w:p>
        </w:tc>
        <w:tc>
          <w:tcPr>
            <w:tcW w:w="2410" w:type="dxa"/>
            <w:shd w:val="clear" w:color="auto" w:fill="D9D9D9" w:themeFill="background1" w:themeFillShade="D9"/>
          </w:tcPr>
          <w:p w14:paraId="1EC7A34B" w14:textId="77777777" w:rsidR="00507F4B" w:rsidRPr="00507F4B" w:rsidRDefault="00507F4B" w:rsidP="00507F4B">
            <w:pPr>
              <w:widowControl w:val="0"/>
              <w:spacing w:after="120"/>
              <w:jc w:val="center"/>
              <w:rPr>
                <w:rFonts w:ascii="Verdana" w:eastAsia="Times New Roman" w:hAnsi="Verdana" w:cs="Calibri"/>
                <w:b/>
                <w:color w:val="000000"/>
                <w:kern w:val="28"/>
                <w:lang w:eastAsia="en-GB"/>
                <w14:cntxtAlts/>
              </w:rPr>
            </w:pPr>
            <w:r w:rsidRPr="00507F4B">
              <w:rPr>
                <w:rFonts w:ascii="Verdana" w:eastAsia="Times New Roman" w:hAnsi="Verdana" w:cs="Calibri"/>
                <w:b/>
                <w:color w:val="000000"/>
                <w:kern w:val="28"/>
                <w:lang w:eastAsia="en-GB"/>
                <w14:cntxtAlts/>
              </w:rPr>
              <w:t xml:space="preserve">Female </w:t>
            </w:r>
            <w:proofErr w:type="gramStart"/>
            <w:r>
              <w:rPr>
                <w:rFonts w:ascii="Verdana" w:eastAsia="Times New Roman" w:hAnsi="Verdana" w:cs="Calibri"/>
                <w:b/>
                <w:color w:val="000000"/>
                <w:kern w:val="28"/>
                <w:lang w:eastAsia="en-GB"/>
                <w14:cntxtAlts/>
              </w:rPr>
              <w:t>bonus</w:t>
            </w:r>
            <w:proofErr w:type="gramEnd"/>
            <w:r w:rsidRPr="00507F4B">
              <w:rPr>
                <w:rFonts w:ascii="Verdana" w:eastAsia="Times New Roman" w:hAnsi="Verdana" w:cs="Calibri"/>
                <w:b/>
                <w:color w:val="000000"/>
                <w:kern w:val="28"/>
                <w:lang w:eastAsia="en-GB"/>
                <w14:cntxtAlts/>
              </w:rPr>
              <w:t xml:space="preserve"> pay £</w:t>
            </w:r>
          </w:p>
        </w:tc>
        <w:tc>
          <w:tcPr>
            <w:tcW w:w="1405" w:type="dxa"/>
            <w:shd w:val="clear" w:color="auto" w:fill="D9D9D9" w:themeFill="background1" w:themeFillShade="D9"/>
          </w:tcPr>
          <w:p w14:paraId="6BD02A91" w14:textId="77777777" w:rsidR="00507F4B" w:rsidRDefault="00507F4B" w:rsidP="007F17B2">
            <w:pPr>
              <w:widowControl w:val="0"/>
              <w:jc w:val="center"/>
              <w:rPr>
                <w:rFonts w:ascii="Verdana" w:eastAsia="Times New Roman" w:hAnsi="Verdana" w:cs="Calibri"/>
                <w:b/>
                <w:color w:val="000000"/>
                <w:kern w:val="28"/>
                <w:lang w:eastAsia="en-GB"/>
                <w14:cntxtAlts/>
              </w:rPr>
            </w:pPr>
            <w:r w:rsidRPr="00507F4B">
              <w:rPr>
                <w:rFonts w:ascii="Verdana" w:eastAsia="Times New Roman" w:hAnsi="Verdana" w:cs="Calibri"/>
                <w:b/>
                <w:color w:val="000000"/>
                <w:kern w:val="28"/>
                <w:lang w:eastAsia="en-GB"/>
                <w14:cntxtAlts/>
              </w:rPr>
              <w:t xml:space="preserve">Pay gap </w:t>
            </w:r>
          </w:p>
          <w:p w14:paraId="2BFDF0F7" w14:textId="77777777" w:rsidR="00507F4B" w:rsidRPr="00507F4B" w:rsidRDefault="00507F4B" w:rsidP="007F17B2">
            <w:pPr>
              <w:widowControl w:val="0"/>
              <w:spacing w:after="120"/>
              <w:jc w:val="center"/>
              <w:rPr>
                <w:rFonts w:ascii="Verdana" w:eastAsia="Times New Roman" w:hAnsi="Verdana" w:cs="Calibri"/>
                <w:b/>
                <w:color w:val="000000"/>
                <w:kern w:val="28"/>
                <w:lang w:eastAsia="en-GB"/>
                <w14:cntxtAlts/>
              </w:rPr>
            </w:pPr>
            <w:r w:rsidRPr="00507F4B">
              <w:rPr>
                <w:rFonts w:ascii="Verdana" w:eastAsia="Times New Roman" w:hAnsi="Verdana" w:cs="Calibri"/>
                <w:b/>
                <w:color w:val="000000"/>
                <w:kern w:val="28"/>
                <w:lang w:eastAsia="en-GB"/>
                <w14:cntxtAlts/>
              </w:rPr>
              <w:t>£</w:t>
            </w:r>
          </w:p>
        </w:tc>
        <w:tc>
          <w:tcPr>
            <w:tcW w:w="1804" w:type="dxa"/>
            <w:shd w:val="clear" w:color="auto" w:fill="D9D9D9" w:themeFill="background1" w:themeFillShade="D9"/>
          </w:tcPr>
          <w:p w14:paraId="481209F9" w14:textId="77777777" w:rsidR="00507F4B" w:rsidRDefault="00507F4B" w:rsidP="007F17B2">
            <w:pPr>
              <w:widowControl w:val="0"/>
              <w:jc w:val="center"/>
              <w:rPr>
                <w:rFonts w:ascii="Verdana" w:eastAsia="Times New Roman" w:hAnsi="Verdana" w:cs="Calibri"/>
                <w:b/>
                <w:color w:val="000000"/>
                <w:kern w:val="28"/>
                <w:lang w:eastAsia="en-GB"/>
                <w14:cntxtAlts/>
              </w:rPr>
            </w:pPr>
            <w:r w:rsidRPr="00507F4B">
              <w:rPr>
                <w:rFonts w:ascii="Verdana" w:eastAsia="Times New Roman" w:hAnsi="Verdana" w:cs="Calibri"/>
                <w:b/>
                <w:color w:val="000000"/>
                <w:kern w:val="28"/>
                <w:lang w:eastAsia="en-GB"/>
                <w14:cntxtAlts/>
              </w:rPr>
              <w:t xml:space="preserve">Pay </w:t>
            </w:r>
            <w:r w:rsidR="00E60138">
              <w:rPr>
                <w:rFonts w:ascii="Verdana" w:eastAsia="Times New Roman" w:hAnsi="Verdana" w:cs="Calibri"/>
                <w:b/>
                <w:color w:val="000000"/>
                <w:kern w:val="28"/>
                <w:lang w:eastAsia="en-GB"/>
                <w14:cntxtAlts/>
              </w:rPr>
              <w:t>gap</w:t>
            </w:r>
            <w:r w:rsidRPr="00507F4B">
              <w:rPr>
                <w:rFonts w:ascii="Verdana" w:eastAsia="Times New Roman" w:hAnsi="Verdana" w:cs="Calibri"/>
                <w:b/>
                <w:color w:val="000000"/>
                <w:kern w:val="28"/>
                <w:lang w:eastAsia="en-GB"/>
                <w14:cntxtAlts/>
              </w:rPr>
              <w:t xml:space="preserve"> </w:t>
            </w:r>
          </w:p>
          <w:p w14:paraId="771571EA" w14:textId="77777777" w:rsidR="00507F4B" w:rsidRPr="00507F4B" w:rsidRDefault="00507F4B" w:rsidP="007F17B2">
            <w:pPr>
              <w:widowControl w:val="0"/>
              <w:jc w:val="center"/>
              <w:rPr>
                <w:rFonts w:ascii="Verdana" w:eastAsia="Times New Roman" w:hAnsi="Verdana" w:cs="Calibri"/>
                <w:b/>
                <w:color w:val="000000"/>
                <w:kern w:val="28"/>
                <w:lang w:eastAsia="en-GB"/>
                <w14:cntxtAlts/>
              </w:rPr>
            </w:pPr>
            <w:r w:rsidRPr="00507F4B">
              <w:rPr>
                <w:rFonts w:ascii="Verdana" w:eastAsia="Times New Roman" w:hAnsi="Verdana" w:cs="Calibri"/>
                <w:b/>
                <w:color w:val="000000"/>
                <w:kern w:val="28"/>
                <w:lang w:eastAsia="en-GB"/>
                <w14:cntxtAlts/>
              </w:rPr>
              <w:t>%</w:t>
            </w:r>
            <w:r>
              <w:rPr>
                <w:rFonts w:ascii="Verdana" w:eastAsia="Times New Roman" w:hAnsi="Verdana" w:cs="Calibri"/>
                <w:b/>
                <w:color w:val="000000"/>
                <w:kern w:val="28"/>
                <w:lang w:eastAsia="en-GB"/>
                <w14:cntxtAlts/>
              </w:rPr>
              <w:t xml:space="preserve"> *</w:t>
            </w:r>
          </w:p>
        </w:tc>
      </w:tr>
      <w:tr w:rsidR="004F517D" w14:paraId="341BBDAD" w14:textId="77777777" w:rsidTr="004F517D">
        <w:tc>
          <w:tcPr>
            <w:tcW w:w="1271" w:type="dxa"/>
            <w:shd w:val="clear" w:color="auto" w:fill="FFFFFF" w:themeFill="background1"/>
          </w:tcPr>
          <w:p w14:paraId="1DC46640" w14:textId="3398B621" w:rsidR="004F517D" w:rsidRPr="004F517D" w:rsidRDefault="004F517D" w:rsidP="004F517D">
            <w:pPr>
              <w:widowControl w:val="0"/>
              <w:spacing w:after="120"/>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2022</w:t>
            </w:r>
          </w:p>
        </w:tc>
        <w:tc>
          <w:tcPr>
            <w:tcW w:w="2126" w:type="dxa"/>
            <w:shd w:val="clear" w:color="auto" w:fill="FFFFFF" w:themeFill="background1"/>
          </w:tcPr>
          <w:p w14:paraId="12936218" w14:textId="65ABBA87" w:rsidR="004F517D" w:rsidRPr="004F517D" w:rsidRDefault="004F517D" w:rsidP="00507F4B">
            <w:pPr>
              <w:widowControl w:val="0"/>
              <w:spacing w:after="12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2.25</w:t>
            </w:r>
          </w:p>
        </w:tc>
        <w:tc>
          <w:tcPr>
            <w:tcW w:w="2410" w:type="dxa"/>
            <w:shd w:val="clear" w:color="auto" w:fill="FFFFFF" w:themeFill="background1"/>
          </w:tcPr>
          <w:p w14:paraId="3B26F914" w14:textId="7110B691" w:rsidR="004F517D" w:rsidRPr="004F517D" w:rsidRDefault="004F517D" w:rsidP="00507F4B">
            <w:pPr>
              <w:widowControl w:val="0"/>
              <w:spacing w:after="12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4.29</w:t>
            </w:r>
          </w:p>
        </w:tc>
        <w:tc>
          <w:tcPr>
            <w:tcW w:w="1405" w:type="dxa"/>
            <w:shd w:val="clear" w:color="auto" w:fill="FFFFFF" w:themeFill="background1"/>
          </w:tcPr>
          <w:p w14:paraId="612E3D3E" w14:textId="2D334BD4" w:rsidR="004F517D" w:rsidRPr="004F517D" w:rsidRDefault="004F517D" w:rsidP="007F17B2">
            <w:pPr>
              <w:widowControl w:val="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-2.04</w:t>
            </w:r>
          </w:p>
        </w:tc>
        <w:tc>
          <w:tcPr>
            <w:tcW w:w="1804" w:type="dxa"/>
            <w:shd w:val="clear" w:color="auto" w:fill="FFFFFF" w:themeFill="background1"/>
          </w:tcPr>
          <w:p w14:paraId="45F07094" w14:textId="0CAA2150" w:rsidR="004F517D" w:rsidRPr="004F517D" w:rsidRDefault="004F517D" w:rsidP="007F17B2">
            <w:pPr>
              <w:widowControl w:val="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-90.6</w:t>
            </w:r>
          </w:p>
        </w:tc>
      </w:tr>
      <w:tr w:rsidR="007B5BE5" w14:paraId="408A4350" w14:textId="77777777" w:rsidTr="007B5BE5">
        <w:tc>
          <w:tcPr>
            <w:tcW w:w="1271" w:type="dxa"/>
            <w:shd w:val="clear" w:color="auto" w:fill="auto"/>
          </w:tcPr>
          <w:p w14:paraId="5E1F42D6" w14:textId="56E54947" w:rsidR="007B5BE5" w:rsidRPr="00B65F6F" w:rsidRDefault="00B65F6F" w:rsidP="00B65F6F">
            <w:pPr>
              <w:widowControl w:val="0"/>
              <w:spacing w:after="120"/>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2021</w:t>
            </w:r>
          </w:p>
        </w:tc>
        <w:tc>
          <w:tcPr>
            <w:tcW w:w="2126" w:type="dxa"/>
            <w:shd w:val="clear" w:color="auto" w:fill="auto"/>
          </w:tcPr>
          <w:p w14:paraId="7053E97A" w14:textId="4971FA68" w:rsidR="007B5BE5" w:rsidRPr="004A3080" w:rsidRDefault="004A3080" w:rsidP="00507F4B">
            <w:pPr>
              <w:widowControl w:val="0"/>
              <w:spacing w:after="12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0.93</w:t>
            </w:r>
          </w:p>
        </w:tc>
        <w:tc>
          <w:tcPr>
            <w:tcW w:w="2410" w:type="dxa"/>
            <w:shd w:val="clear" w:color="auto" w:fill="auto"/>
          </w:tcPr>
          <w:p w14:paraId="5E30D013" w14:textId="6E625CBD" w:rsidR="007B5BE5" w:rsidRPr="004A3080" w:rsidRDefault="004A3080" w:rsidP="00507F4B">
            <w:pPr>
              <w:widowControl w:val="0"/>
              <w:spacing w:after="120"/>
              <w:jc w:val="center"/>
              <w:rPr>
                <w:rFonts w:ascii="Verdana" w:eastAsia="Times New Roman" w:hAnsi="Verdana" w:cs="Calibri"/>
                <w:bCs/>
                <w:color w:val="000000"/>
                <w:kern w:val="28"/>
                <w:lang w:eastAsia="en-GB"/>
                <w14:cntxtAlts/>
              </w:rPr>
            </w:pPr>
            <w:r w:rsidRPr="004A3080">
              <w:rPr>
                <w:rFonts w:ascii="Verdana" w:eastAsia="Times New Roman" w:hAnsi="Verdana" w:cs="Calibri"/>
                <w:bCs/>
                <w:color w:val="000000"/>
                <w:kern w:val="28"/>
                <w:lang w:eastAsia="en-GB"/>
                <w14:cntxtAlts/>
              </w:rPr>
              <w:t>0</w:t>
            </w:r>
          </w:p>
        </w:tc>
        <w:tc>
          <w:tcPr>
            <w:tcW w:w="1405" w:type="dxa"/>
            <w:shd w:val="clear" w:color="auto" w:fill="auto"/>
          </w:tcPr>
          <w:p w14:paraId="11AB5254" w14:textId="56AE0E2B" w:rsidR="007B5BE5" w:rsidRPr="004A3080" w:rsidRDefault="004A3080" w:rsidP="007F17B2">
            <w:pPr>
              <w:widowControl w:val="0"/>
              <w:jc w:val="center"/>
              <w:rPr>
                <w:rFonts w:ascii="Verdana" w:eastAsia="Times New Roman" w:hAnsi="Verdana" w:cs="Calibri"/>
                <w:bCs/>
                <w:color w:val="000000"/>
                <w:kern w:val="28"/>
                <w:lang w:eastAsia="en-GB"/>
                <w14:cntxtAlts/>
              </w:rPr>
            </w:pPr>
            <w:r w:rsidRPr="004A3080">
              <w:rPr>
                <w:rFonts w:ascii="Verdana" w:eastAsia="Times New Roman" w:hAnsi="Verdana" w:cs="Calibri"/>
                <w:bCs/>
                <w:color w:val="000000"/>
                <w:kern w:val="28"/>
                <w:lang w:eastAsia="en-GB"/>
                <w14:cntxtAlts/>
              </w:rPr>
              <w:t>0.93</w:t>
            </w:r>
          </w:p>
        </w:tc>
        <w:tc>
          <w:tcPr>
            <w:tcW w:w="1804" w:type="dxa"/>
            <w:shd w:val="clear" w:color="auto" w:fill="auto"/>
          </w:tcPr>
          <w:p w14:paraId="748229CB" w14:textId="04905645" w:rsidR="007B5BE5" w:rsidRPr="004A3080" w:rsidRDefault="004A3080" w:rsidP="007F17B2">
            <w:pPr>
              <w:widowControl w:val="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100</w:t>
            </w:r>
          </w:p>
        </w:tc>
      </w:tr>
      <w:tr w:rsidR="00F74631" w14:paraId="620637F4" w14:textId="77777777" w:rsidTr="007F17B2">
        <w:tc>
          <w:tcPr>
            <w:tcW w:w="1271" w:type="dxa"/>
          </w:tcPr>
          <w:p w14:paraId="5B1E278D" w14:textId="5E9B7EAC" w:rsidR="00F74631" w:rsidRDefault="00F95CDD" w:rsidP="007F17B2">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2020</w:t>
            </w:r>
          </w:p>
        </w:tc>
        <w:tc>
          <w:tcPr>
            <w:tcW w:w="2126" w:type="dxa"/>
          </w:tcPr>
          <w:p w14:paraId="2EE031AD" w14:textId="0DC745A8" w:rsidR="00F74631" w:rsidRDefault="00F95CDD"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13.29</w:t>
            </w:r>
          </w:p>
        </w:tc>
        <w:tc>
          <w:tcPr>
            <w:tcW w:w="2410" w:type="dxa"/>
          </w:tcPr>
          <w:p w14:paraId="69DE9170" w14:textId="3B3343FD" w:rsidR="00F74631" w:rsidRDefault="00F95CDD"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1.29</w:t>
            </w:r>
          </w:p>
        </w:tc>
        <w:tc>
          <w:tcPr>
            <w:tcW w:w="1405" w:type="dxa"/>
          </w:tcPr>
          <w:p w14:paraId="1A7E5C7E" w14:textId="6E8AC26E" w:rsidR="00F74631" w:rsidRDefault="00F95CDD" w:rsidP="005F1755">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12.00</w:t>
            </w:r>
          </w:p>
        </w:tc>
        <w:tc>
          <w:tcPr>
            <w:tcW w:w="1804" w:type="dxa"/>
          </w:tcPr>
          <w:p w14:paraId="7CAF0957" w14:textId="13F652B4" w:rsidR="00F74631" w:rsidRDefault="00F95CDD"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90.2</w:t>
            </w:r>
          </w:p>
        </w:tc>
      </w:tr>
      <w:tr w:rsidR="0080519D" w14:paraId="199B6999" w14:textId="77777777" w:rsidTr="007F17B2">
        <w:tc>
          <w:tcPr>
            <w:tcW w:w="1271" w:type="dxa"/>
          </w:tcPr>
          <w:p w14:paraId="422885CB" w14:textId="0045AFB4" w:rsidR="0080519D" w:rsidRDefault="00BB20F2" w:rsidP="007F17B2">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2019</w:t>
            </w:r>
          </w:p>
        </w:tc>
        <w:tc>
          <w:tcPr>
            <w:tcW w:w="2126" w:type="dxa"/>
          </w:tcPr>
          <w:p w14:paraId="27A19F0E" w14:textId="77777777" w:rsidR="0080519D" w:rsidRDefault="00BB20F2"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83.81</w:t>
            </w:r>
          </w:p>
        </w:tc>
        <w:tc>
          <w:tcPr>
            <w:tcW w:w="2410" w:type="dxa"/>
          </w:tcPr>
          <w:p w14:paraId="7E5F9B8C" w14:textId="77777777" w:rsidR="0080519D" w:rsidRDefault="00BB20F2"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167.89</w:t>
            </w:r>
          </w:p>
        </w:tc>
        <w:tc>
          <w:tcPr>
            <w:tcW w:w="1405" w:type="dxa"/>
          </w:tcPr>
          <w:p w14:paraId="34DF444B" w14:textId="77777777" w:rsidR="0080519D" w:rsidRDefault="00BB20F2" w:rsidP="005F1755">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-84.08</w:t>
            </w:r>
          </w:p>
        </w:tc>
        <w:tc>
          <w:tcPr>
            <w:tcW w:w="1804" w:type="dxa"/>
          </w:tcPr>
          <w:p w14:paraId="744BC397" w14:textId="77777777" w:rsidR="0080519D" w:rsidRDefault="003C5253"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-100.3</w:t>
            </w:r>
          </w:p>
        </w:tc>
      </w:tr>
      <w:tr w:rsidR="00507F4B" w14:paraId="0C5FA403" w14:textId="77777777" w:rsidTr="007F17B2">
        <w:tc>
          <w:tcPr>
            <w:tcW w:w="1271" w:type="dxa"/>
          </w:tcPr>
          <w:p w14:paraId="7A2EE23A" w14:textId="406F20C8" w:rsidR="00507F4B" w:rsidRDefault="00507F4B" w:rsidP="007F17B2">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 xml:space="preserve">2018 </w:t>
            </w:r>
          </w:p>
        </w:tc>
        <w:tc>
          <w:tcPr>
            <w:tcW w:w="2126" w:type="dxa"/>
          </w:tcPr>
          <w:p w14:paraId="73A9CE7E" w14:textId="77777777" w:rsidR="00507F4B" w:rsidRDefault="00F17FDB"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235.71</w:t>
            </w:r>
          </w:p>
        </w:tc>
        <w:tc>
          <w:tcPr>
            <w:tcW w:w="2410" w:type="dxa"/>
          </w:tcPr>
          <w:p w14:paraId="5463A8B1" w14:textId="77777777" w:rsidR="00507F4B" w:rsidRDefault="00F17FDB"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327.16</w:t>
            </w:r>
          </w:p>
        </w:tc>
        <w:tc>
          <w:tcPr>
            <w:tcW w:w="1405" w:type="dxa"/>
          </w:tcPr>
          <w:p w14:paraId="0E4B5DF4" w14:textId="77777777" w:rsidR="00507F4B" w:rsidRDefault="00F17FDB" w:rsidP="005F1755">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-91.4</w:t>
            </w:r>
            <w:r w:rsidR="001534EE">
              <w:rPr>
                <w:rFonts w:ascii="Verdana" w:eastAsia="Times New Roman" w:hAnsi="Verdana" w:cs="Calibri"/>
                <w:color w:val="000000"/>
                <w:kern w:val="28"/>
                <w:lang w:eastAsia="en-GB"/>
                <w14:cntxtAlts/>
              </w:rPr>
              <w:t>5</w:t>
            </w:r>
          </w:p>
        </w:tc>
        <w:tc>
          <w:tcPr>
            <w:tcW w:w="1804" w:type="dxa"/>
          </w:tcPr>
          <w:p w14:paraId="7C601056" w14:textId="77777777" w:rsidR="00507F4B" w:rsidRDefault="003C5253"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-38.8</w:t>
            </w:r>
          </w:p>
        </w:tc>
      </w:tr>
      <w:tr w:rsidR="00507F4B" w14:paraId="72E5D177" w14:textId="77777777" w:rsidTr="007F17B2">
        <w:tc>
          <w:tcPr>
            <w:tcW w:w="1271" w:type="dxa"/>
          </w:tcPr>
          <w:p w14:paraId="4C23C8CD" w14:textId="759FBE0B" w:rsidR="00507F4B" w:rsidRDefault="00507F4B" w:rsidP="007F17B2">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2017</w:t>
            </w:r>
          </w:p>
        </w:tc>
        <w:tc>
          <w:tcPr>
            <w:tcW w:w="2126" w:type="dxa"/>
          </w:tcPr>
          <w:p w14:paraId="13DB45C7" w14:textId="77777777" w:rsidR="00507F4B" w:rsidRDefault="00507F4B"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230.04</w:t>
            </w:r>
          </w:p>
        </w:tc>
        <w:tc>
          <w:tcPr>
            <w:tcW w:w="2410" w:type="dxa"/>
          </w:tcPr>
          <w:p w14:paraId="5E10ACF2" w14:textId="77777777" w:rsidR="00507F4B" w:rsidRDefault="00507F4B"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354.01</w:t>
            </w:r>
          </w:p>
        </w:tc>
        <w:tc>
          <w:tcPr>
            <w:tcW w:w="1405" w:type="dxa"/>
          </w:tcPr>
          <w:p w14:paraId="40C7AEF5" w14:textId="77777777" w:rsidR="00507F4B" w:rsidRDefault="00A206D7" w:rsidP="007F17B2">
            <w:pPr>
              <w:widowControl w:val="0"/>
              <w:spacing w:after="120"/>
              <w:jc w:val="center"/>
              <w:rPr>
                <w:rFonts w:ascii="Verdana" w:eastAsia="Times New Roman" w:hAnsi="Verdana" w:cs="Calibri"/>
                <w:color w:val="000000"/>
                <w:kern w:val="28"/>
                <w:lang w:eastAsia="en-GB"/>
                <w14:cntxtAlts/>
              </w:rPr>
            </w:pPr>
            <w:r w:rsidRPr="007E7DB7">
              <w:rPr>
                <w:rFonts w:ascii="Verdana" w:eastAsia="Times New Roman" w:hAnsi="Verdana" w:cs="Calibri"/>
                <w:color w:val="000000"/>
                <w:kern w:val="28"/>
                <w:lang w:eastAsia="en-GB"/>
                <w14:cntxtAlts/>
              </w:rPr>
              <w:t>-</w:t>
            </w:r>
            <w:r w:rsidR="00507F4B" w:rsidRPr="007E7DB7">
              <w:rPr>
                <w:rFonts w:ascii="Verdana" w:eastAsia="Times New Roman" w:hAnsi="Verdana" w:cs="Calibri"/>
                <w:color w:val="000000"/>
                <w:kern w:val="28"/>
                <w:lang w:eastAsia="en-GB"/>
                <w14:cntxtAlts/>
              </w:rPr>
              <w:t>123.97</w:t>
            </w:r>
          </w:p>
        </w:tc>
        <w:tc>
          <w:tcPr>
            <w:tcW w:w="1804" w:type="dxa"/>
          </w:tcPr>
          <w:p w14:paraId="478FCE30" w14:textId="77777777" w:rsidR="00507F4B" w:rsidRDefault="003C5253"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-53.9</w:t>
            </w:r>
          </w:p>
        </w:tc>
      </w:tr>
    </w:tbl>
    <w:p w14:paraId="75A1ADC0" w14:textId="77777777" w:rsidR="00507F4B" w:rsidRPr="00A52223" w:rsidRDefault="00507F4B" w:rsidP="0073271D">
      <w:pPr>
        <w:widowControl w:val="0"/>
        <w:spacing w:after="0"/>
        <w:rPr>
          <w:rFonts w:ascii="Verdana" w:eastAsia="Times New Roman" w:hAnsi="Verdana" w:cs="Calibri"/>
          <w:color w:val="000000"/>
          <w:kern w:val="28"/>
          <w:lang w:eastAsia="en-GB"/>
          <w14:cntxtAlts/>
        </w:rPr>
      </w:pPr>
    </w:p>
    <w:p w14:paraId="569391C4" w14:textId="77777777" w:rsidR="007E41FC" w:rsidRPr="00A52223" w:rsidRDefault="007E41FC" w:rsidP="00A52223">
      <w:pPr>
        <w:widowControl w:val="0"/>
        <w:spacing w:after="120"/>
        <w:rPr>
          <w:rFonts w:ascii="Verdana" w:eastAsia="Times New Roman" w:hAnsi="Verdana" w:cs="Calibri"/>
          <w:i/>
          <w:iCs/>
          <w:color w:val="000000"/>
          <w:kern w:val="28"/>
          <w:lang w:eastAsia="en-GB"/>
          <w14:cntxtAlts/>
        </w:rPr>
      </w:pPr>
      <w:r w:rsidRPr="00A52223">
        <w:rPr>
          <w:rFonts w:ascii="Verdana" w:eastAsia="Times New Roman" w:hAnsi="Verdana" w:cs="Calibri"/>
          <w:i/>
          <w:iCs/>
          <w:color w:val="000000"/>
          <w:kern w:val="28"/>
          <w:lang w:eastAsia="en-GB"/>
          <w14:cntxtAlts/>
        </w:rPr>
        <w:t>* Negative pay gaps occur when females earn more on average, positive pay gaps are used when males earn more on average</w:t>
      </w:r>
    </w:p>
    <w:p w14:paraId="764BDF25" w14:textId="07CA169F" w:rsidR="007E41FC" w:rsidRPr="00A52223" w:rsidRDefault="00A52223" w:rsidP="00526BCF">
      <w:pPr>
        <w:widowControl w:val="0"/>
        <w:spacing w:after="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 xml:space="preserve">In comparison, for </w:t>
      </w:r>
      <w:r w:rsidR="00950888">
        <w:rPr>
          <w:rFonts w:ascii="Verdana" w:eastAsia="Times New Roman" w:hAnsi="Verdana" w:cs="Calibri"/>
          <w:color w:val="000000"/>
          <w:kern w:val="28"/>
          <w:lang w:eastAsia="en-GB"/>
          <w14:cntxtAlts/>
        </w:rPr>
        <w:t>202</w:t>
      </w:r>
      <w:r w:rsidR="00A87E49">
        <w:rPr>
          <w:rFonts w:ascii="Verdana" w:eastAsia="Times New Roman" w:hAnsi="Verdana" w:cs="Calibri"/>
          <w:color w:val="000000"/>
          <w:kern w:val="28"/>
          <w:lang w:eastAsia="en-GB"/>
          <w14:cntxtAlts/>
        </w:rPr>
        <w:t>1</w:t>
      </w:r>
      <w:r>
        <w:rPr>
          <w:rFonts w:ascii="Verdana" w:eastAsia="Times New Roman" w:hAnsi="Verdana" w:cs="Calibri"/>
          <w:color w:val="000000"/>
          <w:kern w:val="28"/>
          <w:lang w:eastAsia="en-GB"/>
          <w14:cntxtAlts/>
        </w:rPr>
        <w:t xml:space="preserve"> th</w:t>
      </w:r>
      <w:r w:rsidR="007E41FC" w:rsidRPr="00A52223">
        <w:rPr>
          <w:rFonts w:ascii="Verdana" w:eastAsia="Times New Roman" w:hAnsi="Verdana" w:cs="Calibri"/>
          <w:color w:val="000000"/>
          <w:kern w:val="28"/>
          <w:lang w:eastAsia="en-GB"/>
          <w14:cntxtAlts/>
        </w:rPr>
        <w:t xml:space="preserve">e mean bonus gap </w:t>
      </w:r>
      <w:r w:rsidRPr="0073271D">
        <w:rPr>
          <w:rFonts w:ascii="Verdana" w:eastAsia="Times New Roman" w:hAnsi="Verdana" w:cs="Calibri"/>
          <w:color w:val="000000"/>
          <w:kern w:val="28"/>
          <w:lang w:eastAsia="en-GB"/>
          <w14:cntxtAlts/>
        </w:rPr>
        <w:t>was</w:t>
      </w:r>
      <w:r w:rsidR="007E41FC" w:rsidRPr="0073271D">
        <w:rPr>
          <w:rFonts w:ascii="Verdana" w:eastAsia="Times New Roman" w:hAnsi="Verdana" w:cs="Calibri"/>
          <w:color w:val="000000"/>
          <w:kern w:val="28"/>
          <w:lang w:eastAsia="en-GB"/>
          <w14:cntxtAlts/>
        </w:rPr>
        <w:t xml:space="preserve"> </w:t>
      </w:r>
      <w:r w:rsidR="00A87E49">
        <w:rPr>
          <w:rFonts w:ascii="Verdana" w:eastAsia="Times New Roman" w:hAnsi="Verdana" w:cs="Calibri"/>
          <w:color w:val="000000"/>
          <w:kern w:val="28"/>
          <w:lang w:eastAsia="en-GB"/>
          <w14:cntxtAlts/>
        </w:rPr>
        <w:t xml:space="preserve">100 </w:t>
      </w:r>
      <w:r w:rsidR="004A0D98">
        <w:rPr>
          <w:rFonts w:ascii="Verdana" w:eastAsia="Times New Roman" w:hAnsi="Verdana" w:cs="Calibri"/>
          <w:color w:val="000000"/>
          <w:kern w:val="28"/>
          <w:lang w:eastAsia="en-GB"/>
          <w14:cntxtAlts/>
        </w:rPr>
        <w:t>per cent</w:t>
      </w:r>
      <w:r w:rsidR="007E41FC" w:rsidRPr="0073271D">
        <w:rPr>
          <w:rFonts w:ascii="Verdana" w:eastAsia="Times New Roman" w:hAnsi="Verdana" w:cs="Calibri"/>
          <w:color w:val="000000"/>
          <w:kern w:val="28"/>
          <w:lang w:eastAsia="en-GB"/>
          <w14:cntxtAlts/>
        </w:rPr>
        <w:t>. This mean</w:t>
      </w:r>
      <w:r w:rsidRPr="0073271D">
        <w:rPr>
          <w:rFonts w:ascii="Verdana" w:eastAsia="Times New Roman" w:hAnsi="Verdana" w:cs="Calibri"/>
          <w:color w:val="000000"/>
          <w:kern w:val="28"/>
          <w:lang w:eastAsia="en-GB"/>
          <w14:cntxtAlts/>
        </w:rPr>
        <w:t>t</w:t>
      </w:r>
      <w:r w:rsidR="007E41FC" w:rsidRPr="0073271D">
        <w:rPr>
          <w:rFonts w:ascii="Verdana" w:eastAsia="Times New Roman" w:hAnsi="Verdana" w:cs="Calibri"/>
          <w:color w:val="000000"/>
          <w:kern w:val="28"/>
          <w:lang w:eastAsia="en-GB"/>
          <w14:cntxtAlts/>
        </w:rPr>
        <w:t xml:space="preserve"> that </w:t>
      </w:r>
      <w:r w:rsidR="00950888">
        <w:rPr>
          <w:rFonts w:ascii="Verdana" w:eastAsia="Times New Roman" w:hAnsi="Verdana" w:cs="Calibri"/>
          <w:color w:val="000000"/>
          <w:kern w:val="28"/>
          <w:lang w:eastAsia="en-GB"/>
          <w14:cntxtAlts/>
        </w:rPr>
        <w:t>m</w:t>
      </w:r>
      <w:r w:rsidR="007E41FC" w:rsidRPr="0073271D">
        <w:rPr>
          <w:rFonts w:ascii="Verdana" w:eastAsia="Times New Roman" w:hAnsi="Verdana" w:cs="Calibri"/>
          <w:color w:val="000000"/>
          <w:kern w:val="28"/>
          <w:lang w:eastAsia="en-GB"/>
          <w14:cntxtAlts/>
        </w:rPr>
        <w:t>ale</w:t>
      </w:r>
      <w:r w:rsidR="00A87E49">
        <w:rPr>
          <w:rFonts w:ascii="Verdana" w:eastAsia="Times New Roman" w:hAnsi="Verdana" w:cs="Calibri"/>
          <w:color w:val="000000"/>
          <w:kern w:val="28"/>
          <w:lang w:eastAsia="en-GB"/>
          <w14:cntxtAlts/>
        </w:rPr>
        <w:t>s were the only</w:t>
      </w:r>
      <w:r w:rsidR="007E41FC" w:rsidRPr="0073271D">
        <w:rPr>
          <w:rFonts w:ascii="Verdana" w:eastAsia="Times New Roman" w:hAnsi="Verdana" w:cs="Calibri"/>
          <w:color w:val="000000"/>
          <w:kern w:val="28"/>
          <w:lang w:eastAsia="en-GB"/>
          <w14:cntxtAlts/>
        </w:rPr>
        <w:t xml:space="preserve"> employees </w:t>
      </w:r>
      <w:r w:rsidR="00A87E49">
        <w:rPr>
          <w:rFonts w:ascii="Verdana" w:eastAsia="Times New Roman" w:hAnsi="Verdana" w:cs="Calibri"/>
          <w:color w:val="000000"/>
          <w:kern w:val="28"/>
          <w:lang w:eastAsia="en-GB"/>
          <w14:cntxtAlts/>
        </w:rPr>
        <w:t>to receive bonus payments during this reporting period.</w:t>
      </w:r>
      <w:r w:rsidR="007E41FC" w:rsidRPr="00A52223">
        <w:rPr>
          <w:rFonts w:ascii="Verdana" w:eastAsia="Times New Roman" w:hAnsi="Verdana" w:cs="Calibri"/>
          <w:color w:val="000000"/>
          <w:kern w:val="28"/>
          <w:lang w:eastAsia="en-GB"/>
          <w14:cntxtAlts/>
        </w:rPr>
        <w:t xml:space="preserve">  </w:t>
      </w:r>
    </w:p>
    <w:p w14:paraId="1A3D9308" w14:textId="7E3CDD73" w:rsidR="00F95CDD" w:rsidRDefault="00F95CDD" w:rsidP="00186B72">
      <w:pPr>
        <w:widowControl w:val="0"/>
        <w:spacing w:after="0"/>
        <w:rPr>
          <w:rFonts w:ascii="Verdana" w:eastAsia="Times New Roman" w:hAnsi="Verdana" w:cs="Calibri"/>
          <w:b/>
          <w:bCs/>
          <w:color w:val="000000"/>
          <w:kern w:val="28"/>
          <w:lang w:eastAsia="en-GB"/>
          <w14:cntxtAlts/>
        </w:rPr>
      </w:pPr>
    </w:p>
    <w:p w14:paraId="610B3EE6" w14:textId="77777777" w:rsidR="007E41FC" w:rsidRPr="00A52223" w:rsidRDefault="007E41FC" w:rsidP="00A52223">
      <w:pPr>
        <w:widowControl w:val="0"/>
        <w:spacing w:after="120"/>
        <w:rPr>
          <w:rFonts w:ascii="Verdana" w:eastAsia="Times New Roman" w:hAnsi="Verdana" w:cs="Calibri"/>
          <w:b/>
          <w:bCs/>
          <w:color w:val="000000"/>
          <w:kern w:val="28"/>
          <w:lang w:eastAsia="en-GB"/>
          <w14:cntxtAlts/>
        </w:rPr>
      </w:pPr>
      <w:r w:rsidRPr="00A52223">
        <w:rPr>
          <w:rFonts w:ascii="Verdana" w:eastAsia="Times New Roman" w:hAnsi="Verdana" w:cs="Calibri"/>
          <w:b/>
          <w:bCs/>
          <w:color w:val="000000"/>
          <w:kern w:val="28"/>
          <w:lang w:eastAsia="en-GB"/>
          <w14:cntxtAlts/>
        </w:rPr>
        <w:t xml:space="preserve">4. Median bonus gap </w:t>
      </w:r>
    </w:p>
    <w:p w14:paraId="0778F8AA" w14:textId="50F7D2C7" w:rsidR="007E41FC" w:rsidRPr="00A52223" w:rsidRDefault="007E41FC" w:rsidP="00A52223">
      <w:pPr>
        <w:widowControl w:val="0"/>
        <w:spacing w:after="120"/>
        <w:rPr>
          <w:rFonts w:ascii="Verdana" w:eastAsia="Times New Roman" w:hAnsi="Verdana" w:cs="Calibri"/>
          <w:color w:val="000000"/>
          <w:kern w:val="28"/>
          <w:lang w:eastAsia="en-GB"/>
          <w14:cntxtAlts/>
        </w:rPr>
      </w:pPr>
      <w:r w:rsidRPr="00A52223">
        <w:rPr>
          <w:rFonts w:ascii="Verdana" w:eastAsia="Times New Roman" w:hAnsi="Verdana" w:cs="Calibri"/>
          <w:color w:val="000000"/>
          <w:kern w:val="28"/>
          <w:lang w:eastAsia="en-GB"/>
          <w14:cntxtAlts/>
        </w:rPr>
        <w:t>The difference between the median bonus paid to male relevant employees and female relevant employees.</w:t>
      </w:r>
    </w:p>
    <w:p w14:paraId="46E855F1" w14:textId="6EEB6AE1" w:rsidR="00507F4B" w:rsidRDefault="00F95CDD" w:rsidP="00A52223">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For 202</w:t>
      </w:r>
      <w:r w:rsidR="00A87E49">
        <w:rPr>
          <w:rFonts w:ascii="Verdana" w:eastAsia="Times New Roman" w:hAnsi="Verdana" w:cs="Calibri"/>
          <w:color w:val="000000"/>
          <w:kern w:val="28"/>
          <w:lang w:eastAsia="en-GB"/>
          <w14:cntxtAlts/>
        </w:rPr>
        <w:t>2</w:t>
      </w:r>
      <w:r>
        <w:rPr>
          <w:rFonts w:ascii="Verdana" w:eastAsia="Times New Roman" w:hAnsi="Verdana" w:cs="Calibri"/>
          <w:color w:val="000000"/>
          <w:kern w:val="28"/>
          <w:lang w:eastAsia="en-GB"/>
          <w14:cntxtAlts/>
        </w:rPr>
        <w:t xml:space="preserve"> t</w:t>
      </w:r>
      <w:r w:rsidR="0073271D">
        <w:rPr>
          <w:rFonts w:ascii="Verdana" w:eastAsia="Times New Roman" w:hAnsi="Verdana" w:cs="Calibri"/>
          <w:color w:val="000000"/>
          <w:kern w:val="28"/>
          <w:lang w:eastAsia="en-GB"/>
          <w14:cntxtAlts/>
        </w:rPr>
        <w:t xml:space="preserve">he median bonus gap </w:t>
      </w:r>
      <w:r w:rsidR="004A7474">
        <w:rPr>
          <w:rFonts w:ascii="Verdana" w:eastAsia="Times New Roman" w:hAnsi="Verdana" w:cs="Calibri"/>
          <w:color w:val="000000"/>
          <w:kern w:val="28"/>
          <w:lang w:eastAsia="en-GB"/>
          <w14:cntxtAlts/>
        </w:rPr>
        <w:t xml:space="preserve">is </w:t>
      </w:r>
      <w:r w:rsidR="00A87E49">
        <w:rPr>
          <w:rFonts w:ascii="Verdana" w:eastAsia="Times New Roman" w:hAnsi="Verdana" w:cs="Calibri"/>
          <w:color w:val="000000"/>
          <w:kern w:val="28"/>
          <w:lang w:eastAsia="en-GB"/>
          <w14:cntxtAlts/>
        </w:rPr>
        <w:t>-226.4</w:t>
      </w:r>
      <w:r w:rsidR="004A7474">
        <w:rPr>
          <w:rFonts w:ascii="Verdana" w:eastAsia="Times New Roman" w:hAnsi="Verdana" w:cs="Calibri"/>
          <w:color w:val="000000"/>
          <w:kern w:val="28"/>
          <w:lang w:eastAsia="en-GB"/>
          <w14:cntxtAlts/>
        </w:rPr>
        <w:t xml:space="preserve"> </w:t>
      </w:r>
      <w:r w:rsidR="004A0D98">
        <w:rPr>
          <w:rFonts w:ascii="Verdana" w:eastAsia="Times New Roman" w:hAnsi="Verdana" w:cs="Calibri"/>
          <w:color w:val="000000"/>
          <w:kern w:val="28"/>
          <w:lang w:eastAsia="en-GB"/>
          <w14:cntxtAlts/>
        </w:rPr>
        <w:t>per cent</w:t>
      </w:r>
      <w:r>
        <w:rPr>
          <w:rFonts w:ascii="Verdana" w:eastAsia="Times New Roman" w:hAnsi="Verdana" w:cs="Calibri"/>
          <w:color w:val="000000"/>
          <w:kern w:val="28"/>
          <w:lang w:eastAsia="en-GB"/>
          <w14:cntxtAlts/>
        </w:rPr>
        <w:t>.</w:t>
      </w:r>
      <w:r w:rsidR="0073271D">
        <w:rPr>
          <w:rFonts w:ascii="Verdana" w:eastAsia="Times New Roman" w:hAnsi="Verdana" w:cs="Calibri"/>
          <w:color w:val="000000"/>
          <w:kern w:val="28"/>
          <w:lang w:eastAsia="en-GB"/>
          <w14:cntxtAlts/>
        </w:rPr>
        <w:t xml:space="preserve"> </w:t>
      </w:r>
      <w:r w:rsidR="00737BC4">
        <w:rPr>
          <w:rFonts w:ascii="Verdana" w:eastAsia="Times New Roman" w:hAnsi="Verdana" w:cs="Calibri"/>
          <w:color w:val="000000"/>
          <w:kern w:val="28"/>
          <w:lang w:eastAsia="en-GB"/>
          <w14:cntxtAlts/>
        </w:rPr>
        <w:t xml:space="preserve">This means that female employees received a bonus greater than £283.00 compared to male employees. </w:t>
      </w:r>
    </w:p>
    <w:p w14:paraId="6986A288" w14:textId="77777777" w:rsidR="00E0385D" w:rsidRDefault="00E0385D" w:rsidP="00A52223">
      <w:pPr>
        <w:widowControl w:val="0"/>
        <w:spacing w:after="120"/>
        <w:rPr>
          <w:rFonts w:ascii="Verdana" w:eastAsia="Times New Roman" w:hAnsi="Verdana" w:cs="Calibri"/>
          <w:color w:val="000000"/>
          <w:kern w:val="28"/>
          <w:lang w:eastAsia="en-GB"/>
          <w14:cntxtAlts/>
        </w:rPr>
      </w:pPr>
    </w:p>
    <w:tbl>
      <w:tblPr>
        <w:tblStyle w:val="TableGrid"/>
        <w:tblW w:w="0" w:type="auto"/>
        <w:tblLook w:val="04A0" w:firstRow="1" w:lastRow="0" w:firstColumn="1" w:lastColumn="0" w:noHBand="0" w:noVBand="1"/>
      </w:tblPr>
      <w:tblGrid>
        <w:gridCol w:w="1271"/>
        <w:gridCol w:w="2126"/>
        <w:gridCol w:w="2410"/>
        <w:gridCol w:w="1405"/>
        <w:gridCol w:w="1804"/>
      </w:tblGrid>
      <w:tr w:rsidR="00507F4B" w14:paraId="15EF7C39" w14:textId="77777777" w:rsidTr="007F17B2">
        <w:tc>
          <w:tcPr>
            <w:tcW w:w="1271" w:type="dxa"/>
            <w:shd w:val="clear" w:color="auto" w:fill="D9D9D9" w:themeFill="background1" w:themeFillShade="D9"/>
          </w:tcPr>
          <w:p w14:paraId="5A35E3A1" w14:textId="77777777" w:rsidR="00507F4B" w:rsidRPr="00507F4B" w:rsidRDefault="00507F4B" w:rsidP="007F17B2">
            <w:pPr>
              <w:widowControl w:val="0"/>
              <w:spacing w:after="120"/>
              <w:jc w:val="center"/>
              <w:rPr>
                <w:rFonts w:ascii="Verdana" w:eastAsia="Times New Roman" w:hAnsi="Verdana" w:cs="Calibri"/>
                <w:b/>
                <w:color w:val="000000"/>
                <w:kern w:val="28"/>
                <w:lang w:eastAsia="en-GB"/>
                <w14:cntxtAlts/>
              </w:rPr>
            </w:pPr>
            <w:r w:rsidRPr="00507F4B">
              <w:rPr>
                <w:rFonts w:ascii="Verdana" w:eastAsia="Times New Roman" w:hAnsi="Verdana" w:cs="Calibri"/>
                <w:b/>
                <w:color w:val="000000"/>
                <w:kern w:val="28"/>
                <w:lang w:eastAsia="en-GB"/>
                <w14:cntxtAlts/>
              </w:rPr>
              <w:t>Year</w:t>
            </w:r>
          </w:p>
        </w:tc>
        <w:tc>
          <w:tcPr>
            <w:tcW w:w="2126" w:type="dxa"/>
            <w:shd w:val="clear" w:color="auto" w:fill="D9D9D9" w:themeFill="background1" w:themeFillShade="D9"/>
          </w:tcPr>
          <w:p w14:paraId="606A7299" w14:textId="77777777" w:rsidR="00507F4B" w:rsidRPr="00507F4B" w:rsidRDefault="00507F4B" w:rsidP="007F17B2">
            <w:pPr>
              <w:widowControl w:val="0"/>
              <w:spacing w:after="120"/>
              <w:jc w:val="center"/>
              <w:rPr>
                <w:rFonts w:ascii="Verdana" w:eastAsia="Times New Roman" w:hAnsi="Verdana" w:cs="Calibri"/>
                <w:b/>
                <w:color w:val="000000"/>
                <w:kern w:val="28"/>
                <w:lang w:eastAsia="en-GB"/>
                <w14:cntxtAlts/>
              </w:rPr>
            </w:pPr>
            <w:r w:rsidRPr="00507F4B">
              <w:rPr>
                <w:rFonts w:ascii="Verdana" w:eastAsia="Times New Roman" w:hAnsi="Verdana" w:cs="Calibri"/>
                <w:b/>
                <w:color w:val="000000"/>
                <w:kern w:val="28"/>
                <w:lang w:eastAsia="en-GB"/>
                <w14:cntxtAlts/>
              </w:rPr>
              <w:t xml:space="preserve">Male </w:t>
            </w:r>
            <w:proofErr w:type="gramStart"/>
            <w:r>
              <w:rPr>
                <w:rFonts w:ascii="Verdana" w:eastAsia="Times New Roman" w:hAnsi="Verdana" w:cs="Calibri"/>
                <w:b/>
                <w:color w:val="000000"/>
                <w:kern w:val="28"/>
                <w:lang w:eastAsia="en-GB"/>
                <w14:cntxtAlts/>
              </w:rPr>
              <w:t>bonus</w:t>
            </w:r>
            <w:proofErr w:type="gramEnd"/>
            <w:r w:rsidRPr="00507F4B">
              <w:rPr>
                <w:rFonts w:ascii="Verdana" w:eastAsia="Times New Roman" w:hAnsi="Verdana" w:cs="Calibri"/>
                <w:b/>
                <w:color w:val="000000"/>
                <w:kern w:val="28"/>
                <w:lang w:eastAsia="en-GB"/>
                <w14:cntxtAlts/>
              </w:rPr>
              <w:t xml:space="preserve"> pay £</w:t>
            </w:r>
          </w:p>
        </w:tc>
        <w:tc>
          <w:tcPr>
            <w:tcW w:w="2410" w:type="dxa"/>
            <w:shd w:val="clear" w:color="auto" w:fill="D9D9D9" w:themeFill="background1" w:themeFillShade="D9"/>
          </w:tcPr>
          <w:p w14:paraId="6EBB52FD" w14:textId="77777777" w:rsidR="00507F4B" w:rsidRPr="00507F4B" w:rsidRDefault="00507F4B" w:rsidP="007F17B2">
            <w:pPr>
              <w:widowControl w:val="0"/>
              <w:spacing w:after="120"/>
              <w:jc w:val="center"/>
              <w:rPr>
                <w:rFonts w:ascii="Verdana" w:eastAsia="Times New Roman" w:hAnsi="Verdana" w:cs="Calibri"/>
                <w:b/>
                <w:color w:val="000000"/>
                <w:kern w:val="28"/>
                <w:lang w:eastAsia="en-GB"/>
                <w14:cntxtAlts/>
              </w:rPr>
            </w:pPr>
            <w:r w:rsidRPr="00507F4B">
              <w:rPr>
                <w:rFonts w:ascii="Verdana" w:eastAsia="Times New Roman" w:hAnsi="Verdana" w:cs="Calibri"/>
                <w:b/>
                <w:color w:val="000000"/>
                <w:kern w:val="28"/>
                <w:lang w:eastAsia="en-GB"/>
                <w14:cntxtAlts/>
              </w:rPr>
              <w:t xml:space="preserve">Female </w:t>
            </w:r>
            <w:proofErr w:type="gramStart"/>
            <w:r>
              <w:rPr>
                <w:rFonts w:ascii="Verdana" w:eastAsia="Times New Roman" w:hAnsi="Verdana" w:cs="Calibri"/>
                <w:b/>
                <w:color w:val="000000"/>
                <w:kern w:val="28"/>
                <w:lang w:eastAsia="en-GB"/>
                <w14:cntxtAlts/>
              </w:rPr>
              <w:t>bonus</w:t>
            </w:r>
            <w:proofErr w:type="gramEnd"/>
            <w:r w:rsidRPr="00507F4B">
              <w:rPr>
                <w:rFonts w:ascii="Verdana" w:eastAsia="Times New Roman" w:hAnsi="Verdana" w:cs="Calibri"/>
                <w:b/>
                <w:color w:val="000000"/>
                <w:kern w:val="28"/>
                <w:lang w:eastAsia="en-GB"/>
                <w14:cntxtAlts/>
              </w:rPr>
              <w:t xml:space="preserve"> pay £</w:t>
            </w:r>
          </w:p>
        </w:tc>
        <w:tc>
          <w:tcPr>
            <w:tcW w:w="1405" w:type="dxa"/>
            <w:shd w:val="clear" w:color="auto" w:fill="D9D9D9" w:themeFill="background1" w:themeFillShade="D9"/>
          </w:tcPr>
          <w:p w14:paraId="236B93F8" w14:textId="77777777" w:rsidR="00507F4B" w:rsidRDefault="00507F4B" w:rsidP="007F17B2">
            <w:pPr>
              <w:widowControl w:val="0"/>
              <w:jc w:val="center"/>
              <w:rPr>
                <w:rFonts w:ascii="Verdana" w:eastAsia="Times New Roman" w:hAnsi="Verdana" w:cs="Calibri"/>
                <w:b/>
                <w:color w:val="000000"/>
                <w:kern w:val="28"/>
                <w:lang w:eastAsia="en-GB"/>
                <w14:cntxtAlts/>
              </w:rPr>
            </w:pPr>
            <w:r w:rsidRPr="00507F4B">
              <w:rPr>
                <w:rFonts w:ascii="Verdana" w:eastAsia="Times New Roman" w:hAnsi="Verdana" w:cs="Calibri"/>
                <w:b/>
                <w:color w:val="000000"/>
                <w:kern w:val="28"/>
                <w:lang w:eastAsia="en-GB"/>
                <w14:cntxtAlts/>
              </w:rPr>
              <w:t xml:space="preserve">Pay gap </w:t>
            </w:r>
          </w:p>
          <w:p w14:paraId="711865D6" w14:textId="77777777" w:rsidR="00507F4B" w:rsidRPr="00507F4B" w:rsidRDefault="00507F4B" w:rsidP="007F17B2">
            <w:pPr>
              <w:widowControl w:val="0"/>
              <w:spacing w:after="120"/>
              <w:jc w:val="center"/>
              <w:rPr>
                <w:rFonts w:ascii="Verdana" w:eastAsia="Times New Roman" w:hAnsi="Verdana" w:cs="Calibri"/>
                <w:b/>
                <w:color w:val="000000"/>
                <w:kern w:val="28"/>
                <w:lang w:eastAsia="en-GB"/>
                <w14:cntxtAlts/>
              </w:rPr>
            </w:pPr>
            <w:r w:rsidRPr="00507F4B">
              <w:rPr>
                <w:rFonts w:ascii="Verdana" w:eastAsia="Times New Roman" w:hAnsi="Verdana" w:cs="Calibri"/>
                <w:b/>
                <w:color w:val="000000"/>
                <w:kern w:val="28"/>
                <w:lang w:eastAsia="en-GB"/>
                <w14:cntxtAlts/>
              </w:rPr>
              <w:t>£</w:t>
            </w:r>
          </w:p>
        </w:tc>
        <w:tc>
          <w:tcPr>
            <w:tcW w:w="1804" w:type="dxa"/>
            <w:shd w:val="clear" w:color="auto" w:fill="D9D9D9" w:themeFill="background1" w:themeFillShade="D9"/>
          </w:tcPr>
          <w:p w14:paraId="5007AD4A" w14:textId="77777777" w:rsidR="00507F4B" w:rsidRDefault="00507F4B" w:rsidP="007F17B2">
            <w:pPr>
              <w:widowControl w:val="0"/>
              <w:jc w:val="center"/>
              <w:rPr>
                <w:rFonts w:ascii="Verdana" w:eastAsia="Times New Roman" w:hAnsi="Verdana" w:cs="Calibri"/>
                <w:b/>
                <w:color w:val="000000"/>
                <w:kern w:val="28"/>
                <w:lang w:eastAsia="en-GB"/>
                <w14:cntxtAlts/>
              </w:rPr>
            </w:pPr>
            <w:r w:rsidRPr="00507F4B">
              <w:rPr>
                <w:rFonts w:ascii="Verdana" w:eastAsia="Times New Roman" w:hAnsi="Verdana" w:cs="Calibri"/>
                <w:b/>
                <w:color w:val="000000"/>
                <w:kern w:val="28"/>
                <w:lang w:eastAsia="en-GB"/>
                <w14:cntxtAlts/>
              </w:rPr>
              <w:t xml:space="preserve">Pay </w:t>
            </w:r>
            <w:r w:rsidR="00E60138">
              <w:rPr>
                <w:rFonts w:ascii="Verdana" w:eastAsia="Times New Roman" w:hAnsi="Verdana" w:cs="Calibri"/>
                <w:b/>
                <w:color w:val="000000"/>
                <w:kern w:val="28"/>
                <w:lang w:eastAsia="en-GB"/>
                <w14:cntxtAlts/>
              </w:rPr>
              <w:t>gap</w:t>
            </w:r>
            <w:r w:rsidRPr="00507F4B">
              <w:rPr>
                <w:rFonts w:ascii="Verdana" w:eastAsia="Times New Roman" w:hAnsi="Verdana" w:cs="Calibri"/>
                <w:b/>
                <w:color w:val="000000"/>
                <w:kern w:val="28"/>
                <w:lang w:eastAsia="en-GB"/>
                <w14:cntxtAlts/>
              </w:rPr>
              <w:t xml:space="preserve"> </w:t>
            </w:r>
          </w:p>
          <w:p w14:paraId="518FD51C" w14:textId="77777777" w:rsidR="00507F4B" w:rsidRPr="00507F4B" w:rsidRDefault="00507F4B" w:rsidP="00507F4B">
            <w:pPr>
              <w:widowControl w:val="0"/>
              <w:jc w:val="center"/>
              <w:rPr>
                <w:rFonts w:ascii="Verdana" w:eastAsia="Times New Roman" w:hAnsi="Verdana" w:cs="Calibri"/>
                <w:b/>
                <w:color w:val="000000"/>
                <w:kern w:val="28"/>
                <w:lang w:eastAsia="en-GB"/>
                <w14:cntxtAlts/>
              </w:rPr>
            </w:pPr>
            <w:r w:rsidRPr="00507F4B">
              <w:rPr>
                <w:rFonts w:ascii="Verdana" w:eastAsia="Times New Roman" w:hAnsi="Verdana" w:cs="Calibri"/>
                <w:b/>
                <w:color w:val="000000"/>
                <w:kern w:val="28"/>
                <w:lang w:eastAsia="en-GB"/>
                <w14:cntxtAlts/>
              </w:rPr>
              <w:t>%</w:t>
            </w:r>
            <w:r>
              <w:rPr>
                <w:rFonts w:ascii="Verdana" w:eastAsia="Times New Roman" w:hAnsi="Verdana" w:cs="Calibri"/>
                <w:b/>
                <w:color w:val="000000"/>
                <w:kern w:val="28"/>
                <w:lang w:eastAsia="en-GB"/>
                <w14:cntxtAlts/>
              </w:rPr>
              <w:t xml:space="preserve"> </w:t>
            </w:r>
          </w:p>
        </w:tc>
      </w:tr>
      <w:tr w:rsidR="004F517D" w:rsidRPr="004F517D" w14:paraId="5FB8A53A" w14:textId="77777777" w:rsidTr="004F517D">
        <w:tc>
          <w:tcPr>
            <w:tcW w:w="1271" w:type="dxa"/>
            <w:shd w:val="clear" w:color="auto" w:fill="FFFFFF" w:themeFill="background1"/>
          </w:tcPr>
          <w:p w14:paraId="3412321B" w14:textId="681E520B" w:rsidR="004F517D" w:rsidRPr="004F517D" w:rsidRDefault="004F517D" w:rsidP="004F517D">
            <w:pPr>
              <w:widowControl w:val="0"/>
              <w:spacing w:after="120"/>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2022</w:t>
            </w:r>
          </w:p>
        </w:tc>
        <w:tc>
          <w:tcPr>
            <w:tcW w:w="2126" w:type="dxa"/>
            <w:shd w:val="clear" w:color="auto" w:fill="FFFFFF" w:themeFill="background1"/>
          </w:tcPr>
          <w:p w14:paraId="3918F918" w14:textId="198742D0" w:rsidR="004F517D" w:rsidRPr="004F517D" w:rsidRDefault="004F517D" w:rsidP="007F17B2">
            <w:pPr>
              <w:widowControl w:val="0"/>
              <w:spacing w:after="12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125</w:t>
            </w:r>
          </w:p>
        </w:tc>
        <w:tc>
          <w:tcPr>
            <w:tcW w:w="2410" w:type="dxa"/>
            <w:shd w:val="clear" w:color="auto" w:fill="FFFFFF" w:themeFill="background1"/>
          </w:tcPr>
          <w:p w14:paraId="0E18EBE8" w14:textId="70858E49" w:rsidR="004F517D" w:rsidRPr="004F517D" w:rsidRDefault="004F517D" w:rsidP="007F17B2">
            <w:pPr>
              <w:widowControl w:val="0"/>
              <w:spacing w:after="12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408</w:t>
            </w:r>
          </w:p>
        </w:tc>
        <w:tc>
          <w:tcPr>
            <w:tcW w:w="1405" w:type="dxa"/>
            <w:shd w:val="clear" w:color="auto" w:fill="FFFFFF" w:themeFill="background1"/>
          </w:tcPr>
          <w:p w14:paraId="6D1EE31E" w14:textId="2A9ABE9E" w:rsidR="004F517D" w:rsidRPr="004F517D" w:rsidRDefault="004F517D" w:rsidP="007F17B2">
            <w:pPr>
              <w:widowControl w:val="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-283</w:t>
            </w:r>
          </w:p>
        </w:tc>
        <w:tc>
          <w:tcPr>
            <w:tcW w:w="1804" w:type="dxa"/>
            <w:shd w:val="clear" w:color="auto" w:fill="FFFFFF" w:themeFill="background1"/>
          </w:tcPr>
          <w:p w14:paraId="54FBECCF" w14:textId="5A48D13E" w:rsidR="004F517D" w:rsidRPr="004F517D" w:rsidRDefault="004F517D" w:rsidP="007F17B2">
            <w:pPr>
              <w:widowControl w:val="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-226.4</w:t>
            </w:r>
          </w:p>
        </w:tc>
      </w:tr>
      <w:tr w:rsidR="00B65F6F" w14:paraId="72644CF0" w14:textId="77777777" w:rsidTr="00B65F6F">
        <w:tc>
          <w:tcPr>
            <w:tcW w:w="1271" w:type="dxa"/>
            <w:shd w:val="clear" w:color="auto" w:fill="FFFFFF" w:themeFill="background1"/>
          </w:tcPr>
          <w:p w14:paraId="38FC293D" w14:textId="3E80C751" w:rsidR="00B65F6F" w:rsidRPr="00B65F6F" w:rsidRDefault="00B65F6F" w:rsidP="00B65F6F">
            <w:pPr>
              <w:widowControl w:val="0"/>
              <w:spacing w:after="120"/>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2021</w:t>
            </w:r>
          </w:p>
        </w:tc>
        <w:tc>
          <w:tcPr>
            <w:tcW w:w="2126" w:type="dxa"/>
            <w:shd w:val="clear" w:color="auto" w:fill="FFFFFF" w:themeFill="background1"/>
          </w:tcPr>
          <w:p w14:paraId="3CC6EE04" w14:textId="081D9EB3" w:rsidR="00B65F6F" w:rsidRPr="004A3080" w:rsidRDefault="004A3080" w:rsidP="007F17B2">
            <w:pPr>
              <w:widowControl w:val="0"/>
              <w:spacing w:after="12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125</w:t>
            </w:r>
          </w:p>
        </w:tc>
        <w:tc>
          <w:tcPr>
            <w:tcW w:w="2410" w:type="dxa"/>
            <w:shd w:val="clear" w:color="auto" w:fill="FFFFFF" w:themeFill="background1"/>
          </w:tcPr>
          <w:p w14:paraId="36A5D5A9" w14:textId="041B9AA2" w:rsidR="00B65F6F" w:rsidRPr="004A3080" w:rsidRDefault="004A3080" w:rsidP="007F17B2">
            <w:pPr>
              <w:widowControl w:val="0"/>
              <w:spacing w:after="12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0</w:t>
            </w:r>
          </w:p>
        </w:tc>
        <w:tc>
          <w:tcPr>
            <w:tcW w:w="1405" w:type="dxa"/>
            <w:shd w:val="clear" w:color="auto" w:fill="FFFFFF" w:themeFill="background1"/>
          </w:tcPr>
          <w:p w14:paraId="130295CE" w14:textId="05FEB874" w:rsidR="00B65F6F" w:rsidRPr="004A3080" w:rsidRDefault="004A3080" w:rsidP="007F17B2">
            <w:pPr>
              <w:widowControl w:val="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125</w:t>
            </w:r>
          </w:p>
        </w:tc>
        <w:tc>
          <w:tcPr>
            <w:tcW w:w="1804" w:type="dxa"/>
            <w:shd w:val="clear" w:color="auto" w:fill="FFFFFF" w:themeFill="background1"/>
          </w:tcPr>
          <w:p w14:paraId="6539B868" w14:textId="0076D8E6" w:rsidR="00B65F6F" w:rsidRPr="004A3080" w:rsidRDefault="004A3080" w:rsidP="007F17B2">
            <w:pPr>
              <w:widowControl w:val="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100</w:t>
            </w:r>
          </w:p>
        </w:tc>
      </w:tr>
      <w:tr w:rsidR="00F95CDD" w14:paraId="5335AA71" w14:textId="77777777" w:rsidTr="007F17B2">
        <w:tc>
          <w:tcPr>
            <w:tcW w:w="1271" w:type="dxa"/>
          </w:tcPr>
          <w:p w14:paraId="3DFE18D6" w14:textId="76C0F170" w:rsidR="00F95CDD" w:rsidRDefault="00F95CDD" w:rsidP="007F17B2">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2020</w:t>
            </w:r>
          </w:p>
        </w:tc>
        <w:tc>
          <w:tcPr>
            <w:tcW w:w="2126" w:type="dxa"/>
          </w:tcPr>
          <w:p w14:paraId="580BB065" w14:textId="421D4668" w:rsidR="00F95CDD" w:rsidRDefault="00F95CDD"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125</w:t>
            </w:r>
          </w:p>
        </w:tc>
        <w:tc>
          <w:tcPr>
            <w:tcW w:w="2410" w:type="dxa"/>
          </w:tcPr>
          <w:p w14:paraId="537AE6AF" w14:textId="5CEF0EF8" w:rsidR="00F95CDD" w:rsidRDefault="00F95CDD"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120</w:t>
            </w:r>
          </w:p>
        </w:tc>
        <w:tc>
          <w:tcPr>
            <w:tcW w:w="1405" w:type="dxa"/>
          </w:tcPr>
          <w:p w14:paraId="2CF0B92B" w14:textId="5A1E198F" w:rsidR="00F95CDD" w:rsidRDefault="00F95CDD"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5</w:t>
            </w:r>
          </w:p>
        </w:tc>
        <w:tc>
          <w:tcPr>
            <w:tcW w:w="1804" w:type="dxa"/>
          </w:tcPr>
          <w:p w14:paraId="29FC682F" w14:textId="5C5A774E" w:rsidR="00F95CDD" w:rsidRDefault="00F95CDD"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w:t>
            </w:r>
            <w:r w:rsidR="00E0385D">
              <w:rPr>
                <w:rFonts w:ascii="Verdana" w:eastAsia="Times New Roman" w:hAnsi="Verdana" w:cs="Calibri"/>
                <w:color w:val="000000"/>
                <w:kern w:val="28"/>
                <w:lang w:eastAsia="en-GB"/>
                <w14:cntxtAlts/>
              </w:rPr>
              <w:t>.0</w:t>
            </w:r>
          </w:p>
        </w:tc>
      </w:tr>
      <w:tr w:rsidR="0080519D" w14:paraId="78D03CA2" w14:textId="77777777" w:rsidTr="007F17B2">
        <w:tc>
          <w:tcPr>
            <w:tcW w:w="1271" w:type="dxa"/>
          </w:tcPr>
          <w:p w14:paraId="1F7D6383" w14:textId="0D86088C" w:rsidR="0080519D" w:rsidRDefault="00737643" w:rsidP="007F17B2">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2019</w:t>
            </w:r>
          </w:p>
        </w:tc>
        <w:tc>
          <w:tcPr>
            <w:tcW w:w="2126" w:type="dxa"/>
          </w:tcPr>
          <w:p w14:paraId="285F5309" w14:textId="77777777" w:rsidR="0080519D" w:rsidRDefault="00CD0C60"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750</w:t>
            </w:r>
          </w:p>
        </w:tc>
        <w:tc>
          <w:tcPr>
            <w:tcW w:w="2410" w:type="dxa"/>
          </w:tcPr>
          <w:p w14:paraId="6C014DD1" w14:textId="77777777" w:rsidR="0080519D" w:rsidRDefault="00CD0C60"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675</w:t>
            </w:r>
          </w:p>
        </w:tc>
        <w:tc>
          <w:tcPr>
            <w:tcW w:w="1405" w:type="dxa"/>
          </w:tcPr>
          <w:p w14:paraId="09134B0F" w14:textId="77777777" w:rsidR="0080519D" w:rsidRDefault="00CD0C60"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75</w:t>
            </w:r>
          </w:p>
        </w:tc>
        <w:tc>
          <w:tcPr>
            <w:tcW w:w="1804" w:type="dxa"/>
          </w:tcPr>
          <w:p w14:paraId="443322F0" w14:textId="77777777" w:rsidR="0080519D" w:rsidRDefault="00CD0C60"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w:t>
            </w:r>
          </w:p>
        </w:tc>
      </w:tr>
      <w:tr w:rsidR="00507F4B" w14:paraId="0C6D2799" w14:textId="77777777" w:rsidTr="007F17B2">
        <w:tc>
          <w:tcPr>
            <w:tcW w:w="1271" w:type="dxa"/>
          </w:tcPr>
          <w:p w14:paraId="67B2FED2" w14:textId="5EABA6FE" w:rsidR="00507F4B" w:rsidRDefault="00507F4B" w:rsidP="007F17B2">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 xml:space="preserve">2018 </w:t>
            </w:r>
          </w:p>
        </w:tc>
        <w:tc>
          <w:tcPr>
            <w:tcW w:w="2126" w:type="dxa"/>
          </w:tcPr>
          <w:p w14:paraId="58E6B4C0" w14:textId="4721BC1D" w:rsidR="00507F4B" w:rsidRDefault="00F17FDB"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1000</w:t>
            </w:r>
          </w:p>
        </w:tc>
        <w:tc>
          <w:tcPr>
            <w:tcW w:w="2410" w:type="dxa"/>
          </w:tcPr>
          <w:p w14:paraId="25B10A42" w14:textId="77777777" w:rsidR="00507F4B" w:rsidRDefault="00F17FDB"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750</w:t>
            </w:r>
          </w:p>
        </w:tc>
        <w:tc>
          <w:tcPr>
            <w:tcW w:w="1405" w:type="dxa"/>
          </w:tcPr>
          <w:p w14:paraId="13E35E05" w14:textId="77777777" w:rsidR="00507F4B" w:rsidRDefault="00F17FDB"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250</w:t>
            </w:r>
          </w:p>
        </w:tc>
        <w:tc>
          <w:tcPr>
            <w:tcW w:w="1804" w:type="dxa"/>
          </w:tcPr>
          <w:p w14:paraId="149AA9B4" w14:textId="77777777" w:rsidR="00507F4B" w:rsidRDefault="00F17FDB"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25</w:t>
            </w:r>
          </w:p>
        </w:tc>
      </w:tr>
      <w:tr w:rsidR="00507F4B" w14:paraId="1ED5D3B8" w14:textId="77777777" w:rsidTr="007F17B2">
        <w:tc>
          <w:tcPr>
            <w:tcW w:w="1271" w:type="dxa"/>
          </w:tcPr>
          <w:p w14:paraId="5294DDD1" w14:textId="40AE90F0" w:rsidR="00507F4B" w:rsidRDefault="00507F4B" w:rsidP="007F17B2">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2017</w:t>
            </w:r>
          </w:p>
        </w:tc>
        <w:tc>
          <w:tcPr>
            <w:tcW w:w="2126" w:type="dxa"/>
          </w:tcPr>
          <w:p w14:paraId="340E6E79" w14:textId="0C2ACA47" w:rsidR="00507F4B" w:rsidRDefault="00507F4B"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500</w:t>
            </w:r>
          </w:p>
        </w:tc>
        <w:tc>
          <w:tcPr>
            <w:tcW w:w="2410" w:type="dxa"/>
          </w:tcPr>
          <w:p w14:paraId="28B0DFBD" w14:textId="77777777" w:rsidR="00507F4B" w:rsidRDefault="00507F4B"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1000</w:t>
            </w:r>
          </w:p>
        </w:tc>
        <w:tc>
          <w:tcPr>
            <w:tcW w:w="1405" w:type="dxa"/>
          </w:tcPr>
          <w:p w14:paraId="24842FF3" w14:textId="77777777" w:rsidR="00507F4B" w:rsidRPr="007E7DB7" w:rsidRDefault="00A206D7" w:rsidP="007F17B2">
            <w:pPr>
              <w:widowControl w:val="0"/>
              <w:spacing w:after="120"/>
              <w:jc w:val="center"/>
              <w:rPr>
                <w:rFonts w:ascii="Verdana" w:eastAsia="Times New Roman" w:hAnsi="Verdana" w:cs="Calibri"/>
                <w:color w:val="000000"/>
                <w:kern w:val="28"/>
                <w:lang w:eastAsia="en-GB"/>
                <w14:cntxtAlts/>
              </w:rPr>
            </w:pPr>
            <w:r w:rsidRPr="007E7DB7">
              <w:rPr>
                <w:rFonts w:ascii="Verdana" w:eastAsia="Times New Roman" w:hAnsi="Verdana" w:cs="Calibri"/>
                <w:color w:val="000000"/>
                <w:kern w:val="28"/>
                <w:lang w:eastAsia="en-GB"/>
                <w14:cntxtAlts/>
              </w:rPr>
              <w:t>-</w:t>
            </w:r>
            <w:r w:rsidR="00507F4B" w:rsidRPr="007E7DB7">
              <w:rPr>
                <w:rFonts w:ascii="Verdana" w:eastAsia="Times New Roman" w:hAnsi="Verdana" w:cs="Calibri"/>
                <w:color w:val="000000"/>
                <w:kern w:val="28"/>
                <w:lang w:eastAsia="en-GB"/>
                <w14:cntxtAlts/>
              </w:rPr>
              <w:t>500</w:t>
            </w:r>
          </w:p>
        </w:tc>
        <w:tc>
          <w:tcPr>
            <w:tcW w:w="1804" w:type="dxa"/>
          </w:tcPr>
          <w:p w14:paraId="7E305264" w14:textId="77777777" w:rsidR="00507F4B" w:rsidRPr="007E7DB7" w:rsidRDefault="00A206D7" w:rsidP="007F17B2">
            <w:pPr>
              <w:widowControl w:val="0"/>
              <w:spacing w:after="120"/>
              <w:jc w:val="center"/>
              <w:rPr>
                <w:rFonts w:ascii="Verdana" w:eastAsia="Times New Roman" w:hAnsi="Verdana" w:cs="Calibri"/>
                <w:color w:val="000000"/>
                <w:kern w:val="28"/>
                <w:lang w:eastAsia="en-GB"/>
                <w14:cntxtAlts/>
              </w:rPr>
            </w:pPr>
            <w:r w:rsidRPr="007E7DB7">
              <w:rPr>
                <w:rFonts w:ascii="Verdana" w:eastAsia="Times New Roman" w:hAnsi="Verdana" w:cs="Calibri"/>
                <w:color w:val="000000"/>
                <w:kern w:val="28"/>
                <w:lang w:eastAsia="en-GB"/>
                <w14:cntxtAlts/>
              </w:rPr>
              <w:t>-</w:t>
            </w:r>
            <w:r w:rsidR="00F17FDB" w:rsidRPr="007E7DB7">
              <w:rPr>
                <w:rFonts w:ascii="Verdana" w:eastAsia="Times New Roman" w:hAnsi="Verdana" w:cs="Calibri"/>
                <w:color w:val="000000"/>
                <w:kern w:val="28"/>
                <w:lang w:eastAsia="en-GB"/>
                <w14:cntxtAlts/>
              </w:rPr>
              <w:t>100</w:t>
            </w:r>
          </w:p>
        </w:tc>
      </w:tr>
    </w:tbl>
    <w:p w14:paraId="0C280A65" w14:textId="77777777" w:rsidR="007E41FC" w:rsidRPr="00A52223" w:rsidRDefault="007E41FC" w:rsidP="005F1755">
      <w:pPr>
        <w:widowControl w:val="0"/>
        <w:spacing w:after="0"/>
        <w:rPr>
          <w:rFonts w:ascii="Verdana" w:eastAsia="Times New Roman" w:hAnsi="Verdana" w:cs="Calibri"/>
          <w:color w:val="000000"/>
          <w:kern w:val="28"/>
          <w:lang w:eastAsia="en-GB"/>
          <w14:cntxtAlts/>
        </w:rPr>
      </w:pPr>
      <w:r w:rsidRPr="00A52223">
        <w:rPr>
          <w:rFonts w:ascii="Verdana" w:eastAsia="Times New Roman" w:hAnsi="Verdana" w:cs="Calibri"/>
          <w:color w:val="000000"/>
          <w:kern w:val="28"/>
          <w:lang w:eastAsia="en-GB"/>
          <w14:cntxtAlts/>
        </w:rPr>
        <w:t> </w:t>
      </w:r>
    </w:p>
    <w:p w14:paraId="2849E9D6" w14:textId="042102D2" w:rsidR="009B29F3" w:rsidRDefault="007E41FC" w:rsidP="00526BCF">
      <w:pPr>
        <w:widowControl w:val="0"/>
        <w:spacing w:after="0"/>
        <w:rPr>
          <w:rFonts w:ascii="Verdana" w:eastAsia="Times New Roman" w:hAnsi="Verdana" w:cs="Calibri"/>
          <w:b/>
          <w:color w:val="000000"/>
          <w:kern w:val="28"/>
          <w:lang w:eastAsia="en-GB"/>
          <w14:cntxtAlts/>
        </w:rPr>
      </w:pPr>
      <w:r w:rsidRPr="00A52223">
        <w:rPr>
          <w:rFonts w:ascii="Verdana" w:eastAsia="Times New Roman" w:hAnsi="Verdana" w:cs="Calibri"/>
          <w:color w:val="000000"/>
          <w:kern w:val="28"/>
          <w:lang w:eastAsia="en-GB"/>
          <w14:cntxtAlts/>
        </w:rPr>
        <w:t>In comparison</w:t>
      </w:r>
      <w:r w:rsidR="005F1755">
        <w:rPr>
          <w:rFonts w:ascii="Verdana" w:eastAsia="Times New Roman" w:hAnsi="Verdana" w:cs="Calibri"/>
          <w:color w:val="000000"/>
          <w:kern w:val="28"/>
          <w:lang w:eastAsia="en-GB"/>
          <w14:cntxtAlts/>
        </w:rPr>
        <w:t>, for 20</w:t>
      </w:r>
      <w:r w:rsidR="004A7474">
        <w:rPr>
          <w:rFonts w:ascii="Verdana" w:eastAsia="Times New Roman" w:hAnsi="Verdana" w:cs="Calibri"/>
          <w:color w:val="000000"/>
          <w:kern w:val="28"/>
          <w:lang w:eastAsia="en-GB"/>
          <w14:cntxtAlts/>
        </w:rPr>
        <w:t>2</w:t>
      </w:r>
      <w:r w:rsidR="00A87E49">
        <w:rPr>
          <w:rFonts w:ascii="Verdana" w:eastAsia="Times New Roman" w:hAnsi="Verdana" w:cs="Calibri"/>
          <w:color w:val="000000"/>
          <w:kern w:val="28"/>
          <w:lang w:eastAsia="en-GB"/>
          <w14:cntxtAlts/>
        </w:rPr>
        <w:t>1</w:t>
      </w:r>
      <w:r w:rsidR="005F1755">
        <w:rPr>
          <w:rFonts w:ascii="Verdana" w:eastAsia="Times New Roman" w:hAnsi="Verdana" w:cs="Calibri"/>
          <w:color w:val="000000"/>
          <w:kern w:val="28"/>
          <w:lang w:eastAsia="en-GB"/>
          <w14:cntxtAlts/>
        </w:rPr>
        <w:t xml:space="preserve"> the median bonus gap was </w:t>
      </w:r>
      <w:r w:rsidR="00A87E49">
        <w:rPr>
          <w:rFonts w:ascii="Verdana" w:eastAsia="Times New Roman" w:hAnsi="Verdana" w:cs="Calibri"/>
          <w:color w:val="000000"/>
          <w:kern w:val="28"/>
          <w:lang w:eastAsia="en-GB"/>
          <w14:cntxtAlts/>
        </w:rPr>
        <w:t>100</w:t>
      </w:r>
      <w:r w:rsidR="004A0D98">
        <w:rPr>
          <w:rFonts w:ascii="Verdana" w:eastAsia="Times New Roman" w:hAnsi="Verdana" w:cs="Calibri"/>
          <w:color w:val="000000"/>
          <w:kern w:val="28"/>
          <w:lang w:eastAsia="en-GB"/>
          <w14:cntxtAlts/>
        </w:rPr>
        <w:t xml:space="preserve"> per cent</w:t>
      </w:r>
      <w:r w:rsidR="005F1755">
        <w:rPr>
          <w:rFonts w:ascii="Verdana" w:eastAsia="Times New Roman" w:hAnsi="Verdana" w:cs="Calibri"/>
          <w:color w:val="000000"/>
          <w:kern w:val="28"/>
          <w:lang w:eastAsia="en-GB"/>
          <w14:cntxtAlts/>
        </w:rPr>
        <w:t xml:space="preserve"> or £</w:t>
      </w:r>
      <w:r w:rsidR="00A87E49">
        <w:rPr>
          <w:rFonts w:ascii="Verdana" w:eastAsia="Times New Roman" w:hAnsi="Verdana" w:cs="Calibri"/>
          <w:color w:val="000000"/>
          <w:kern w:val="28"/>
          <w:lang w:eastAsia="en-GB"/>
          <w14:cntxtAlts/>
        </w:rPr>
        <w:t>12</w:t>
      </w:r>
      <w:r w:rsidR="004A7474">
        <w:rPr>
          <w:rFonts w:ascii="Verdana" w:eastAsia="Times New Roman" w:hAnsi="Verdana" w:cs="Calibri"/>
          <w:color w:val="000000"/>
          <w:kern w:val="28"/>
          <w:lang w:eastAsia="en-GB"/>
          <w14:cntxtAlts/>
        </w:rPr>
        <w:t>5</w:t>
      </w:r>
      <w:r w:rsidR="00F95CDD">
        <w:rPr>
          <w:rFonts w:ascii="Verdana" w:eastAsia="Times New Roman" w:hAnsi="Verdana" w:cs="Calibri"/>
          <w:color w:val="000000"/>
          <w:kern w:val="28"/>
          <w:lang w:eastAsia="en-GB"/>
          <w14:cntxtAlts/>
        </w:rPr>
        <w:t>.00.</w:t>
      </w:r>
      <w:r w:rsidR="005F1755">
        <w:rPr>
          <w:rFonts w:ascii="Verdana" w:eastAsia="Times New Roman" w:hAnsi="Verdana" w:cs="Calibri"/>
          <w:color w:val="000000"/>
          <w:kern w:val="28"/>
          <w:lang w:eastAsia="en-GB"/>
          <w14:cntxtAlts/>
        </w:rPr>
        <w:t xml:space="preserve"> This </w:t>
      </w:r>
      <w:r w:rsidR="005F1755" w:rsidRPr="00A52223">
        <w:rPr>
          <w:rFonts w:ascii="Verdana" w:eastAsia="Times New Roman" w:hAnsi="Verdana" w:cs="Calibri"/>
          <w:color w:val="000000"/>
          <w:kern w:val="28"/>
          <w:lang w:eastAsia="en-GB"/>
          <w14:cntxtAlts/>
        </w:rPr>
        <w:t>mean</w:t>
      </w:r>
      <w:r w:rsidR="005F1755">
        <w:rPr>
          <w:rFonts w:ascii="Verdana" w:eastAsia="Times New Roman" w:hAnsi="Verdana" w:cs="Calibri"/>
          <w:color w:val="000000"/>
          <w:kern w:val="28"/>
          <w:lang w:eastAsia="en-GB"/>
          <w14:cntxtAlts/>
        </w:rPr>
        <w:t>t</w:t>
      </w:r>
      <w:r w:rsidR="005F1755" w:rsidRPr="00A52223">
        <w:rPr>
          <w:rFonts w:ascii="Verdana" w:eastAsia="Times New Roman" w:hAnsi="Verdana" w:cs="Calibri"/>
          <w:color w:val="000000"/>
          <w:kern w:val="28"/>
          <w:lang w:eastAsia="en-GB"/>
          <w14:cntxtAlts/>
        </w:rPr>
        <w:t xml:space="preserve"> that </w:t>
      </w:r>
      <w:r w:rsidR="00A87E49">
        <w:rPr>
          <w:rFonts w:ascii="Verdana" w:eastAsia="Times New Roman" w:hAnsi="Verdana" w:cs="Calibri"/>
          <w:color w:val="000000"/>
          <w:kern w:val="28"/>
          <w:lang w:eastAsia="en-GB"/>
          <w14:cntxtAlts/>
        </w:rPr>
        <w:t xml:space="preserve">only </w:t>
      </w:r>
      <w:r w:rsidR="00501137">
        <w:rPr>
          <w:rFonts w:ascii="Verdana" w:eastAsia="Times New Roman" w:hAnsi="Verdana" w:cs="Calibri"/>
          <w:color w:val="000000"/>
          <w:kern w:val="28"/>
          <w:lang w:eastAsia="en-GB"/>
          <w14:cntxtAlts/>
        </w:rPr>
        <w:t>m</w:t>
      </w:r>
      <w:r w:rsidR="005F1755" w:rsidRPr="00A52223">
        <w:rPr>
          <w:rFonts w:ascii="Verdana" w:eastAsia="Times New Roman" w:hAnsi="Verdana" w:cs="Calibri"/>
          <w:color w:val="000000"/>
          <w:kern w:val="28"/>
          <w:lang w:eastAsia="en-GB"/>
          <w14:cntxtAlts/>
        </w:rPr>
        <w:t xml:space="preserve">ale employees received a bonus </w:t>
      </w:r>
      <w:r w:rsidR="00A87E49">
        <w:rPr>
          <w:rFonts w:ascii="Verdana" w:eastAsia="Times New Roman" w:hAnsi="Verdana" w:cs="Calibri"/>
          <w:color w:val="000000"/>
          <w:kern w:val="28"/>
          <w:lang w:eastAsia="en-GB"/>
          <w14:cntxtAlts/>
        </w:rPr>
        <w:t>payment</w:t>
      </w:r>
      <w:r w:rsidR="00416998">
        <w:rPr>
          <w:rFonts w:ascii="Verdana" w:eastAsia="Times New Roman" w:hAnsi="Verdana" w:cs="Calibri"/>
          <w:color w:val="000000"/>
          <w:kern w:val="28"/>
          <w:lang w:eastAsia="en-GB"/>
          <w14:cntxtAlts/>
        </w:rPr>
        <w:t xml:space="preserve"> during this reporting period</w:t>
      </w:r>
      <w:r w:rsidR="005F1755" w:rsidRPr="005F1755">
        <w:rPr>
          <w:rFonts w:ascii="Verdana" w:eastAsia="Times New Roman" w:hAnsi="Verdana" w:cs="Calibri"/>
          <w:color w:val="000000"/>
          <w:kern w:val="28"/>
          <w:lang w:eastAsia="en-GB"/>
          <w14:cntxtAlts/>
        </w:rPr>
        <w:t>.</w:t>
      </w:r>
      <w:r w:rsidR="00416998">
        <w:rPr>
          <w:rFonts w:ascii="Verdana" w:eastAsia="Times New Roman" w:hAnsi="Verdana" w:cs="Calibri"/>
          <w:color w:val="000000"/>
          <w:kern w:val="28"/>
          <w:lang w:eastAsia="en-GB"/>
          <w14:cntxtAlts/>
        </w:rPr>
        <w:t xml:space="preserve"> </w:t>
      </w:r>
    </w:p>
    <w:p w14:paraId="67360553" w14:textId="77777777" w:rsidR="0091027A" w:rsidRDefault="0091027A" w:rsidP="009B29F3">
      <w:pPr>
        <w:widowControl w:val="0"/>
        <w:spacing w:after="0"/>
        <w:rPr>
          <w:rFonts w:ascii="Verdana" w:eastAsia="Times New Roman" w:hAnsi="Verdana" w:cs="Calibri"/>
          <w:b/>
          <w:color w:val="000000"/>
          <w:kern w:val="28"/>
          <w:lang w:eastAsia="en-GB"/>
          <w14:cntxtAlts/>
        </w:rPr>
      </w:pPr>
    </w:p>
    <w:p w14:paraId="2C7257B0" w14:textId="77777777" w:rsidR="00A52223" w:rsidRPr="00F22997" w:rsidRDefault="00A52223" w:rsidP="00A52223">
      <w:pPr>
        <w:widowControl w:val="0"/>
        <w:spacing w:after="120"/>
        <w:rPr>
          <w:rFonts w:ascii="Verdana" w:eastAsia="Times New Roman" w:hAnsi="Verdana" w:cs="Calibri"/>
          <w:b/>
          <w:color w:val="000000"/>
          <w:kern w:val="28"/>
          <w:lang w:eastAsia="en-GB"/>
          <w14:cntxtAlts/>
        </w:rPr>
      </w:pPr>
      <w:r w:rsidRPr="00F22997">
        <w:rPr>
          <w:rFonts w:ascii="Verdana" w:eastAsia="Times New Roman" w:hAnsi="Verdana" w:cs="Calibri"/>
          <w:b/>
          <w:color w:val="000000"/>
          <w:kern w:val="28"/>
          <w:lang w:eastAsia="en-GB"/>
          <w14:cntxtAlts/>
        </w:rPr>
        <w:t xml:space="preserve">5. Bonus Proportions </w:t>
      </w:r>
    </w:p>
    <w:p w14:paraId="399AB382" w14:textId="77777777" w:rsidR="00507F4B" w:rsidRDefault="00A52223" w:rsidP="004E71BD">
      <w:pPr>
        <w:widowControl w:val="0"/>
        <w:spacing w:after="120"/>
        <w:rPr>
          <w:rFonts w:ascii="Verdana" w:eastAsia="Times New Roman" w:hAnsi="Verdana" w:cs="Calibri"/>
          <w:color w:val="000000"/>
          <w:kern w:val="28"/>
          <w:lang w:eastAsia="en-GB"/>
          <w14:cntxtAlts/>
        </w:rPr>
      </w:pPr>
      <w:r w:rsidRPr="00A52223">
        <w:rPr>
          <w:rFonts w:ascii="Verdana" w:eastAsia="Times New Roman" w:hAnsi="Verdana" w:cs="Calibri"/>
          <w:color w:val="000000"/>
          <w:kern w:val="28"/>
          <w:lang w:eastAsia="en-GB"/>
          <w14:cntxtAlts/>
        </w:rPr>
        <w:t>The proportion of male and female employees who were paid a bonus during the relevant 12-month pay period:</w:t>
      </w:r>
    </w:p>
    <w:tbl>
      <w:tblPr>
        <w:tblStyle w:val="TableGrid"/>
        <w:tblW w:w="0" w:type="auto"/>
        <w:tblLook w:val="04A0" w:firstRow="1" w:lastRow="0" w:firstColumn="1" w:lastColumn="0" w:noHBand="0" w:noVBand="1"/>
      </w:tblPr>
      <w:tblGrid>
        <w:gridCol w:w="1258"/>
        <w:gridCol w:w="2097"/>
        <w:gridCol w:w="2877"/>
        <w:gridCol w:w="2784"/>
      </w:tblGrid>
      <w:tr w:rsidR="00F22997" w14:paraId="692174AA" w14:textId="77777777" w:rsidTr="00F22997">
        <w:tc>
          <w:tcPr>
            <w:tcW w:w="1258" w:type="dxa"/>
            <w:shd w:val="clear" w:color="auto" w:fill="D9D9D9" w:themeFill="background1" w:themeFillShade="D9"/>
          </w:tcPr>
          <w:p w14:paraId="7EE56162" w14:textId="77777777" w:rsidR="00F22997" w:rsidRPr="00507F4B" w:rsidRDefault="00F22997" w:rsidP="00F22997">
            <w:pPr>
              <w:widowControl w:val="0"/>
              <w:spacing w:after="120"/>
              <w:jc w:val="center"/>
              <w:rPr>
                <w:rFonts w:ascii="Verdana" w:eastAsia="Times New Roman" w:hAnsi="Verdana" w:cs="Calibri"/>
                <w:b/>
                <w:color w:val="000000"/>
                <w:kern w:val="28"/>
                <w:lang w:eastAsia="en-GB"/>
                <w14:cntxtAlts/>
              </w:rPr>
            </w:pPr>
            <w:r w:rsidRPr="00507F4B">
              <w:rPr>
                <w:rFonts w:ascii="Verdana" w:eastAsia="Times New Roman" w:hAnsi="Verdana" w:cs="Calibri"/>
                <w:b/>
                <w:color w:val="000000"/>
                <w:kern w:val="28"/>
                <w:lang w:eastAsia="en-GB"/>
                <w14:cntxtAlts/>
              </w:rPr>
              <w:t>Year</w:t>
            </w:r>
          </w:p>
        </w:tc>
        <w:tc>
          <w:tcPr>
            <w:tcW w:w="2097" w:type="dxa"/>
            <w:shd w:val="clear" w:color="auto" w:fill="D9D9D9" w:themeFill="background1" w:themeFillShade="D9"/>
          </w:tcPr>
          <w:p w14:paraId="40D5E0AA" w14:textId="77777777" w:rsidR="00F22997" w:rsidRPr="00507F4B" w:rsidRDefault="00F22997" w:rsidP="00F22997">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Gender </w:t>
            </w:r>
          </w:p>
        </w:tc>
        <w:tc>
          <w:tcPr>
            <w:tcW w:w="2877" w:type="dxa"/>
            <w:shd w:val="clear" w:color="auto" w:fill="D9D9D9" w:themeFill="background1" w:themeFillShade="D9"/>
          </w:tcPr>
          <w:p w14:paraId="6818C188" w14:textId="77777777" w:rsidR="00F22997" w:rsidRPr="00507F4B" w:rsidRDefault="00F22997" w:rsidP="00F22997">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Number of employees</w:t>
            </w:r>
          </w:p>
        </w:tc>
        <w:tc>
          <w:tcPr>
            <w:tcW w:w="2784" w:type="dxa"/>
            <w:shd w:val="clear" w:color="auto" w:fill="D9D9D9" w:themeFill="background1" w:themeFillShade="D9"/>
          </w:tcPr>
          <w:p w14:paraId="18C56E34" w14:textId="77777777" w:rsidR="00F22997" w:rsidRPr="00507F4B" w:rsidRDefault="00F22997" w:rsidP="00F22997">
            <w:pPr>
              <w:widowControl w:val="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w:t>
            </w:r>
          </w:p>
        </w:tc>
      </w:tr>
      <w:tr w:rsidR="004F517D" w14:paraId="224EB837" w14:textId="77777777" w:rsidTr="00D807E6">
        <w:tc>
          <w:tcPr>
            <w:tcW w:w="1258" w:type="dxa"/>
            <w:shd w:val="clear" w:color="auto" w:fill="FFFFFF" w:themeFill="background1"/>
          </w:tcPr>
          <w:p w14:paraId="2D32149A" w14:textId="14B54D3F" w:rsidR="004F517D" w:rsidRPr="00B65F6F" w:rsidRDefault="004F517D" w:rsidP="00B65F6F">
            <w:pPr>
              <w:widowControl w:val="0"/>
              <w:spacing w:after="120"/>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2022</w:t>
            </w:r>
          </w:p>
        </w:tc>
        <w:tc>
          <w:tcPr>
            <w:tcW w:w="2097" w:type="dxa"/>
          </w:tcPr>
          <w:p w14:paraId="754D3048" w14:textId="037AE0BA" w:rsidR="004F517D" w:rsidRDefault="004F517D" w:rsidP="00B65F6F">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Males</w:t>
            </w:r>
          </w:p>
        </w:tc>
        <w:tc>
          <w:tcPr>
            <w:tcW w:w="2877" w:type="dxa"/>
            <w:shd w:val="clear" w:color="auto" w:fill="FFFFFF" w:themeFill="background1"/>
          </w:tcPr>
          <w:p w14:paraId="2D424048" w14:textId="39319375" w:rsidR="004F517D" w:rsidRDefault="004F517D" w:rsidP="00B65F6F">
            <w:pPr>
              <w:widowControl w:val="0"/>
              <w:spacing w:after="12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5</w:t>
            </w:r>
          </w:p>
        </w:tc>
        <w:tc>
          <w:tcPr>
            <w:tcW w:w="2784" w:type="dxa"/>
            <w:shd w:val="clear" w:color="auto" w:fill="FFFFFF" w:themeFill="background1"/>
          </w:tcPr>
          <w:p w14:paraId="61A8C306" w14:textId="1AD23809" w:rsidR="004F517D" w:rsidRDefault="004F517D" w:rsidP="00B65F6F">
            <w:pPr>
              <w:widowControl w:val="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1.2</w:t>
            </w:r>
          </w:p>
        </w:tc>
      </w:tr>
      <w:tr w:rsidR="004F517D" w14:paraId="6ED056A9" w14:textId="77777777" w:rsidTr="00D807E6">
        <w:tc>
          <w:tcPr>
            <w:tcW w:w="1258" w:type="dxa"/>
            <w:shd w:val="clear" w:color="auto" w:fill="FFFFFF" w:themeFill="background1"/>
          </w:tcPr>
          <w:p w14:paraId="71274458" w14:textId="77777777" w:rsidR="004F517D" w:rsidRPr="00B65F6F" w:rsidRDefault="004F517D" w:rsidP="00B65F6F">
            <w:pPr>
              <w:widowControl w:val="0"/>
              <w:spacing w:after="120"/>
              <w:rPr>
                <w:rFonts w:ascii="Verdana" w:eastAsia="Times New Roman" w:hAnsi="Verdana" w:cs="Calibri"/>
                <w:bCs/>
                <w:color w:val="000000"/>
                <w:kern w:val="28"/>
                <w:lang w:eastAsia="en-GB"/>
                <w14:cntxtAlts/>
              </w:rPr>
            </w:pPr>
          </w:p>
        </w:tc>
        <w:tc>
          <w:tcPr>
            <w:tcW w:w="2097" w:type="dxa"/>
          </w:tcPr>
          <w:p w14:paraId="0A75D6FD" w14:textId="537B3874" w:rsidR="004F517D" w:rsidRDefault="004F517D" w:rsidP="00B65F6F">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Females</w:t>
            </w:r>
          </w:p>
        </w:tc>
        <w:tc>
          <w:tcPr>
            <w:tcW w:w="2877" w:type="dxa"/>
            <w:shd w:val="clear" w:color="auto" w:fill="FFFFFF" w:themeFill="background1"/>
          </w:tcPr>
          <w:p w14:paraId="65C5547E" w14:textId="3DF2B6C3" w:rsidR="004F517D" w:rsidRDefault="004F517D" w:rsidP="00B65F6F">
            <w:pPr>
              <w:widowControl w:val="0"/>
              <w:spacing w:after="12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1</w:t>
            </w:r>
          </w:p>
        </w:tc>
        <w:tc>
          <w:tcPr>
            <w:tcW w:w="2784" w:type="dxa"/>
            <w:shd w:val="clear" w:color="auto" w:fill="FFFFFF" w:themeFill="background1"/>
          </w:tcPr>
          <w:p w14:paraId="5E474288" w14:textId="7ABE0B88" w:rsidR="004F517D" w:rsidRDefault="004F517D" w:rsidP="00B65F6F">
            <w:pPr>
              <w:widowControl w:val="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1.1</w:t>
            </w:r>
          </w:p>
        </w:tc>
      </w:tr>
      <w:tr w:rsidR="00B65F6F" w14:paraId="1F2C2EB7" w14:textId="77777777" w:rsidTr="00D807E6">
        <w:tc>
          <w:tcPr>
            <w:tcW w:w="1258" w:type="dxa"/>
            <w:shd w:val="clear" w:color="auto" w:fill="FFFFFF" w:themeFill="background1"/>
          </w:tcPr>
          <w:p w14:paraId="6838ED3D" w14:textId="13B6F756" w:rsidR="00B65F6F" w:rsidRPr="00B65F6F" w:rsidRDefault="00B65F6F" w:rsidP="00B65F6F">
            <w:pPr>
              <w:widowControl w:val="0"/>
              <w:spacing w:after="120"/>
              <w:rPr>
                <w:rFonts w:ascii="Verdana" w:eastAsia="Times New Roman" w:hAnsi="Verdana" w:cs="Calibri"/>
                <w:bCs/>
                <w:color w:val="000000"/>
                <w:kern w:val="28"/>
                <w:lang w:eastAsia="en-GB"/>
                <w14:cntxtAlts/>
              </w:rPr>
            </w:pPr>
            <w:r w:rsidRPr="00B65F6F">
              <w:rPr>
                <w:rFonts w:ascii="Verdana" w:eastAsia="Times New Roman" w:hAnsi="Verdana" w:cs="Calibri"/>
                <w:bCs/>
                <w:color w:val="000000"/>
                <w:kern w:val="28"/>
                <w:lang w:eastAsia="en-GB"/>
                <w14:cntxtAlts/>
              </w:rPr>
              <w:t>2021</w:t>
            </w:r>
          </w:p>
        </w:tc>
        <w:tc>
          <w:tcPr>
            <w:tcW w:w="2097" w:type="dxa"/>
          </w:tcPr>
          <w:p w14:paraId="6AF23A83" w14:textId="260D46F1" w:rsidR="00B65F6F" w:rsidRPr="00B65F6F" w:rsidRDefault="00B65F6F" w:rsidP="00B65F6F">
            <w:pPr>
              <w:widowControl w:val="0"/>
              <w:spacing w:after="120"/>
              <w:jc w:val="center"/>
              <w:rPr>
                <w:rFonts w:ascii="Verdana" w:eastAsia="Times New Roman" w:hAnsi="Verdana" w:cs="Calibri"/>
                <w:bCs/>
                <w:color w:val="000000"/>
                <w:kern w:val="28"/>
                <w:lang w:eastAsia="en-GB"/>
                <w14:cntxtAlts/>
              </w:rPr>
            </w:pPr>
            <w:r>
              <w:rPr>
                <w:rFonts w:ascii="Verdana" w:eastAsia="Times New Roman" w:hAnsi="Verdana" w:cs="Calibri"/>
                <w:color w:val="000000"/>
                <w:kern w:val="28"/>
                <w:lang w:eastAsia="en-GB"/>
                <w14:cntxtAlts/>
              </w:rPr>
              <w:t>Males</w:t>
            </w:r>
          </w:p>
        </w:tc>
        <w:tc>
          <w:tcPr>
            <w:tcW w:w="2877" w:type="dxa"/>
            <w:shd w:val="clear" w:color="auto" w:fill="FFFFFF" w:themeFill="background1"/>
          </w:tcPr>
          <w:p w14:paraId="69BBAF5F" w14:textId="6A6B9F22" w:rsidR="00B65F6F" w:rsidRPr="00B65F6F" w:rsidRDefault="004A3080" w:rsidP="00B65F6F">
            <w:pPr>
              <w:widowControl w:val="0"/>
              <w:spacing w:after="12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3</w:t>
            </w:r>
          </w:p>
        </w:tc>
        <w:tc>
          <w:tcPr>
            <w:tcW w:w="2784" w:type="dxa"/>
            <w:shd w:val="clear" w:color="auto" w:fill="FFFFFF" w:themeFill="background1"/>
          </w:tcPr>
          <w:p w14:paraId="6043AC0C" w14:textId="148788CA" w:rsidR="00B65F6F" w:rsidRPr="00B65F6F" w:rsidRDefault="004A3080" w:rsidP="00B65F6F">
            <w:pPr>
              <w:widowControl w:val="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0.74</w:t>
            </w:r>
          </w:p>
        </w:tc>
      </w:tr>
      <w:tr w:rsidR="00B65F6F" w14:paraId="40AD2456" w14:textId="77777777" w:rsidTr="00D807E6">
        <w:tc>
          <w:tcPr>
            <w:tcW w:w="1258" w:type="dxa"/>
            <w:shd w:val="clear" w:color="auto" w:fill="FFFFFF" w:themeFill="background1"/>
          </w:tcPr>
          <w:p w14:paraId="0E8356E6" w14:textId="77777777" w:rsidR="00B65F6F" w:rsidRPr="00B65F6F" w:rsidRDefault="00B65F6F" w:rsidP="00B65F6F">
            <w:pPr>
              <w:widowControl w:val="0"/>
              <w:spacing w:after="120"/>
              <w:rPr>
                <w:rFonts w:ascii="Verdana" w:eastAsia="Times New Roman" w:hAnsi="Verdana" w:cs="Calibri"/>
                <w:bCs/>
                <w:color w:val="000000"/>
                <w:kern w:val="28"/>
                <w:lang w:eastAsia="en-GB"/>
                <w14:cntxtAlts/>
              </w:rPr>
            </w:pPr>
          </w:p>
        </w:tc>
        <w:tc>
          <w:tcPr>
            <w:tcW w:w="2097" w:type="dxa"/>
          </w:tcPr>
          <w:p w14:paraId="5FA97338" w14:textId="2351110D" w:rsidR="00B65F6F" w:rsidRPr="00B65F6F" w:rsidRDefault="00B65F6F" w:rsidP="00B65F6F">
            <w:pPr>
              <w:widowControl w:val="0"/>
              <w:spacing w:after="120"/>
              <w:jc w:val="center"/>
              <w:rPr>
                <w:rFonts w:ascii="Verdana" w:eastAsia="Times New Roman" w:hAnsi="Verdana" w:cs="Calibri"/>
                <w:bCs/>
                <w:color w:val="000000"/>
                <w:kern w:val="28"/>
                <w:lang w:eastAsia="en-GB"/>
                <w14:cntxtAlts/>
              </w:rPr>
            </w:pPr>
            <w:r>
              <w:rPr>
                <w:rFonts w:ascii="Verdana" w:eastAsia="Times New Roman" w:hAnsi="Verdana" w:cs="Calibri"/>
                <w:color w:val="000000"/>
                <w:kern w:val="28"/>
                <w:lang w:eastAsia="en-GB"/>
                <w14:cntxtAlts/>
              </w:rPr>
              <w:t>Females</w:t>
            </w:r>
          </w:p>
        </w:tc>
        <w:tc>
          <w:tcPr>
            <w:tcW w:w="2877" w:type="dxa"/>
            <w:shd w:val="clear" w:color="auto" w:fill="FFFFFF" w:themeFill="background1"/>
          </w:tcPr>
          <w:p w14:paraId="02B617FE" w14:textId="3DC4C24E" w:rsidR="00B65F6F" w:rsidRPr="00B65F6F" w:rsidRDefault="004A3080" w:rsidP="00B65F6F">
            <w:pPr>
              <w:widowControl w:val="0"/>
              <w:spacing w:after="12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0</w:t>
            </w:r>
          </w:p>
        </w:tc>
        <w:tc>
          <w:tcPr>
            <w:tcW w:w="2784" w:type="dxa"/>
            <w:shd w:val="clear" w:color="auto" w:fill="FFFFFF" w:themeFill="background1"/>
          </w:tcPr>
          <w:p w14:paraId="1EC32D4A" w14:textId="0A021B4E" w:rsidR="00B65F6F" w:rsidRPr="00B65F6F" w:rsidRDefault="004A3080" w:rsidP="00B65F6F">
            <w:pPr>
              <w:widowControl w:val="0"/>
              <w:jc w:val="center"/>
              <w:rPr>
                <w:rFonts w:ascii="Verdana" w:eastAsia="Times New Roman" w:hAnsi="Verdana" w:cs="Calibri"/>
                <w:bCs/>
                <w:color w:val="000000"/>
                <w:kern w:val="28"/>
                <w:lang w:eastAsia="en-GB"/>
                <w14:cntxtAlts/>
              </w:rPr>
            </w:pPr>
            <w:r>
              <w:rPr>
                <w:rFonts w:ascii="Verdana" w:eastAsia="Times New Roman" w:hAnsi="Verdana" w:cs="Calibri"/>
                <w:bCs/>
                <w:color w:val="000000"/>
                <w:kern w:val="28"/>
                <w:lang w:eastAsia="en-GB"/>
                <w14:cntxtAlts/>
              </w:rPr>
              <w:t>0</w:t>
            </w:r>
          </w:p>
        </w:tc>
      </w:tr>
      <w:tr w:rsidR="00526BCF" w14:paraId="76DD22B7" w14:textId="77777777" w:rsidTr="00F22997">
        <w:tc>
          <w:tcPr>
            <w:tcW w:w="1258" w:type="dxa"/>
          </w:tcPr>
          <w:p w14:paraId="43617562" w14:textId="72C67D83" w:rsidR="00526BCF" w:rsidRDefault="00526BCF" w:rsidP="007F17B2">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2020</w:t>
            </w:r>
          </w:p>
        </w:tc>
        <w:tc>
          <w:tcPr>
            <w:tcW w:w="2097" w:type="dxa"/>
          </w:tcPr>
          <w:p w14:paraId="0CE102A7" w14:textId="39111645" w:rsidR="00526BCF" w:rsidRDefault="00526BCF"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Males</w:t>
            </w:r>
          </w:p>
        </w:tc>
        <w:tc>
          <w:tcPr>
            <w:tcW w:w="2877" w:type="dxa"/>
          </w:tcPr>
          <w:p w14:paraId="2F2F702D" w14:textId="15993E12" w:rsidR="00526BCF" w:rsidRDefault="00526BCF"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7</w:t>
            </w:r>
          </w:p>
        </w:tc>
        <w:tc>
          <w:tcPr>
            <w:tcW w:w="2784" w:type="dxa"/>
          </w:tcPr>
          <w:p w14:paraId="49EF27F8" w14:textId="1031F6F3" w:rsidR="00526BCF" w:rsidRDefault="00526BCF"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1.82</w:t>
            </w:r>
          </w:p>
        </w:tc>
      </w:tr>
      <w:tr w:rsidR="00526BCF" w14:paraId="63B9CCEB" w14:textId="77777777" w:rsidTr="00F22997">
        <w:tc>
          <w:tcPr>
            <w:tcW w:w="1258" w:type="dxa"/>
          </w:tcPr>
          <w:p w14:paraId="27AD2AFD" w14:textId="77777777" w:rsidR="00526BCF" w:rsidRDefault="00526BCF" w:rsidP="007F17B2">
            <w:pPr>
              <w:widowControl w:val="0"/>
              <w:spacing w:after="120"/>
              <w:rPr>
                <w:rFonts w:ascii="Verdana" w:eastAsia="Times New Roman" w:hAnsi="Verdana" w:cs="Calibri"/>
                <w:color w:val="000000"/>
                <w:kern w:val="28"/>
                <w:lang w:eastAsia="en-GB"/>
                <w14:cntxtAlts/>
              </w:rPr>
            </w:pPr>
          </w:p>
        </w:tc>
        <w:tc>
          <w:tcPr>
            <w:tcW w:w="2097" w:type="dxa"/>
          </w:tcPr>
          <w:p w14:paraId="3956E9E0" w14:textId="7390D070" w:rsidR="00526BCF" w:rsidRDefault="00526BCF"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 xml:space="preserve">Females </w:t>
            </w:r>
          </w:p>
        </w:tc>
        <w:tc>
          <w:tcPr>
            <w:tcW w:w="2877" w:type="dxa"/>
          </w:tcPr>
          <w:p w14:paraId="56571888" w14:textId="32EEE2E0" w:rsidR="00526BCF" w:rsidRDefault="00526BCF"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w:t>
            </w:r>
          </w:p>
        </w:tc>
        <w:tc>
          <w:tcPr>
            <w:tcW w:w="2784" w:type="dxa"/>
          </w:tcPr>
          <w:p w14:paraId="6654F14C" w14:textId="0BBE7893" w:rsidR="00526BCF" w:rsidRDefault="00526BCF"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1.08</w:t>
            </w:r>
          </w:p>
        </w:tc>
      </w:tr>
      <w:tr w:rsidR="0080519D" w14:paraId="5A46C3A7" w14:textId="77777777" w:rsidTr="00F22997">
        <w:tc>
          <w:tcPr>
            <w:tcW w:w="1258" w:type="dxa"/>
          </w:tcPr>
          <w:p w14:paraId="43858B4E" w14:textId="6159F159" w:rsidR="0080519D" w:rsidRDefault="006C42B8" w:rsidP="007F17B2">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2019</w:t>
            </w:r>
          </w:p>
        </w:tc>
        <w:tc>
          <w:tcPr>
            <w:tcW w:w="2097" w:type="dxa"/>
          </w:tcPr>
          <w:p w14:paraId="753DF83D" w14:textId="77777777" w:rsidR="0080519D" w:rsidRDefault="006C42B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Males</w:t>
            </w:r>
          </w:p>
        </w:tc>
        <w:tc>
          <w:tcPr>
            <w:tcW w:w="2877" w:type="dxa"/>
          </w:tcPr>
          <w:p w14:paraId="6569323F" w14:textId="77777777" w:rsidR="0080519D" w:rsidRDefault="006C42B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32</w:t>
            </w:r>
          </w:p>
        </w:tc>
        <w:tc>
          <w:tcPr>
            <w:tcW w:w="2784" w:type="dxa"/>
          </w:tcPr>
          <w:p w14:paraId="0FB97EEB" w14:textId="77777777" w:rsidR="0080519D" w:rsidRDefault="003C5253"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8.8</w:t>
            </w:r>
          </w:p>
        </w:tc>
      </w:tr>
      <w:tr w:rsidR="0080519D" w14:paraId="236EA391" w14:textId="77777777" w:rsidTr="00F22997">
        <w:tc>
          <w:tcPr>
            <w:tcW w:w="1258" w:type="dxa"/>
          </w:tcPr>
          <w:p w14:paraId="67CCC60A" w14:textId="77777777" w:rsidR="0080519D" w:rsidRDefault="0080519D" w:rsidP="007F17B2">
            <w:pPr>
              <w:widowControl w:val="0"/>
              <w:spacing w:after="120"/>
              <w:rPr>
                <w:rFonts w:ascii="Verdana" w:eastAsia="Times New Roman" w:hAnsi="Verdana" w:cs="Calibri"/>
                <w:color w:val="000000"/>
                <w:kern w:val="28"/>
                <w:lang w:eastAsia="en-GB"/>
                <w14:cntxtAlts/>
              </w:rPr>
            </w:pPr>
          </w:p>
        </w:tc>
        <w:tc>
          <w:tcPr>
            <w:tcW w:w="2097" w:type="dxa"/>
          </w:tcPr>
          <w:p w14:paraId="35D66ECF" w14:textId="77777777" w:rsidR="0080519D" w:rsidRDefault="006C42B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Females</w:t>
            </w:r>
          </w:p>
        </w:tc>
        <w:tc>
          <w:tcPr>
            <w:tcW w:w="2877" w:type="dxa"/>
          </w:tcPr>
          <w:p w14:paraId="7E65DABB" w14:textId="77777777" w:rsidR="0080519D" w:rsidRDefault="006C42B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18</w:t>
            </w:r>
          </w:p>
        </w:tc>
        <w:tc>
          <w:tcPr>
            <w:tcW w:w="2784" w:type="dxa"/>
          </w:tcPr>
          <w:p w14:paraId="2485287A" w14:textId="77777777" w:rsidR="0080519D" w:rsidRDefault="003C5253"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20.0</w:t>
            </w:r>
          </w:p>
        </w:tc>
      </w:tr>
      <w:tr w:rsidR="00F22997" w14:paraId="1D7C9933" w14:textId="77777777" w:rsidTr="00F22997">
        <w:tc>
          <w:tcPr>
            <w:tcW w:w="1258" w:type="dxa"/>
          </w:tcPr>
          <w:p w14:paraId="6685C3F2" w14:textId="5623587E" w:rsidR="00F22997" w:rsidRDefault="00F22997" w:rsidP="007F17B2">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 xml:space="preserve">2018 </w:t>
            </w:r>
          </w:p>
        </w:tc>
        <w:tc>
          <w:tcPr>
            <w:tcW w:w="2097" w:type="dxa"/>
          </w:tcPr>
          <w:p w14:paraId="34BB05B0" w14:textId="77777777" w:rsidR="00F22997" w:rsidRDefault="00F22997"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Males</w:t>
            </w:r>
          </w:p>
        </w:tc>
        <w:tc>
          <w:tcPr>
            <w:tcW w:w="2877" w:type="dxa"/>
          </w:tcPr>
          <w:p w14:paraId="05D60490" w14:textId="77777777" w:rsidR="00F22997" w:rsidRDefault="004824A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38</w:t>
            </w:r>
          </w:p>
        </w:tc>
        <w:tc>
          <w:tcPr>
            <w:tcW w:w="2784" w:type="dxa"/>
          </w:tcPr>
          <w:p w14:paraId="7E79B0B2" w14:textId="77777777" w:rsidR="00F22997" w:rsidRDefault="003C5253"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9.7</w:t>
            </w:r>
          </w:p>
        </w:tc>
      </w:tr>
      <w:tr w:rsidR="00F22997" w14:paraId="5B7F16D9" w14:textId="77777777" w:rsidTr="00F22997">
        <w:tc>
          <w:tcPr>
            <w:tcW w:w="1258" w:type="dxa"/>
          </w:tcPr>
          <w:p w14:paraId="500DE8CE" w14:textId="77777777" w:rsidR="00F22997" w:rsidRDefault="00F22997" w:rsidP="007F17B2">
            <w:pPr>
              <w:widowControl w:val="0"/>
              <w:spacing w:after="120"/>
              <w:rPr>
                <w:rFonts w:ascii="Verdana" w:eastAsia="Times New Roman" w:hAnsi="Verdana" w:cs="Calibri"/>
                <w:color w:val="000000"/>
                <w:kern w:val="28"/>
                <w:lang w:eastAsia="en-GB"/>
                <w14:cntxtAlts/>
              </w:rPr>
            </w:pPr>
          </w:p>
        </w:tc>
        <w:tc>
          <w:tcPr>
            <w:tcW w:w="2097" w:type="dxa"/>
          </w:tcPr>
          <w:p w14:paraId="40A91847" w14:textId="77777777" w:rsidR="00F22997" w:rsidRDefault="00F22997"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 xml:space="preserve">Female </w:t>
            </w:r>
          </w:p>
        </w:tc>
        <w:tc>
          <w:tcPr>
            <w:tcW w:w="2877" w:type="dxa"/>
          </w:tcPr>
          <w:p w14:paraId="321535C8" w14:textId="77777777" w:rsidR="00F22997" w:rsidRDefault="004824A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22</w:t>
            </w:r>
          </w:p>
        </w:tc>
        <w:tc>
          <w:tcPr>
            <w:tcW w:w="2784" w:type="dxa"/>
          </w:tcPr>
          <w:p w14:paraId="72BD1943" w14:textId="77777777" w:rsidR="00F22997" w:rsidRDefault="003C5253"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27.2</w:t>
            </w:r>
          </w:p>
        </w:tc>
      </w:tr>
      <w:tr w:rsidR="00F22997" w14:paraId="60FAC2E9" w14:textId="77777777" w:rsidTr="00F22997">
        <w:tc>
          <w:tcPr>
            <w:tcW w:w="1258" w:type="dxa"/>
          </w:tcPr>
          <w:p w14:paraId="359C783F" w14:textId="6766214F" w:rsidR="00F22997" w:rsidRDefault="00F22997" w:rsidP="00F22997">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2017</w:t>
            </w:r>
          </w:p>
        </w:tc>
        <w:tc>
          <w:tcPr>
            <w:tcW w:w="2097" w:type="dxa"/>
          </w:tcPr>
          <w:p w14:paraId="4EBDD490" w14:textId="77777777" w:rsidR="00F22997" w:rsidRDefault="00F22997" w:rsidP="00F2299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Male</w:t>
            </w:r>
          </w:p>
        </w:tc>
        <w:tc>
          <w:tcPr>
            <w:tcW w:w="2877" w:type="dxa"/>
          </w:tcPr>
          <w:p w14:paraId="639083AF" w14:textId="77777777" w:rsidR="00F22997" w:rsidRDefault="00F22997" w:rsidP="00F2299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44</w:t>
            </w:r>
          </w:p>
        </w:tc>
        <w:tc>
          <w:tcPr>
            <w:tcW w:w="2784" w:type="dxa"/>
          </w:tcPr>
          <w:p w14:paraId="3A18B594" w14:textId="77777777" w:rsidR="00F22997" w:rsidRDefault="003C5253" w:rsidP="00F2299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10.8</w:t>
            </w:r>
          </w:p>
        </w:tc>
      </w:tr>
      <w:tr w:rsidR="00F22997" w14:paraId="06D7A39D" w14:textId="77777777" w:rsidTr="00F22997">
        <w:tc>
          <w:tcPr>
            <w:tcW w:w="1258" w:type="dxa"/>
          </w:tcPr>
          <w:p w14:paraId="0F143DD0" w14:textId="77777777" w:rsidR="00F22997" w:rsidRDefault="00F22997" w:rsidP="007F17B2">
            <w:pPr>
              <w:widowControl w:val="0"/>
              <w:spacing w:after="120"/>
              <w:rPr>
                <w:rFonts w:ascii="Verdana" w:eastAsia="Times New Roman" w:hAnsi="Verdana" w:cs="Calibri"/>
                <w:color w:val="000000"/>
                <w:kern w:val="28"/>
                <w:lang w:eastAsia="en-GB"/>
                <w14:cntxtAlts/>
              </w:rPr>
            </w:pPr>
          </w:p>
        </w:tc>
        <w:tc>
          <w:tcPr>
            <w:tcW w:w="2097" w:type="dxa"/>
          </w:tcPr>
          <w:p w14:paraId="16940DE3" w14:textId="77777777" w:rsidR="00F22997" w:rsidRDefault="00F22997"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Female</w:t>
            </w:r>
          </w:p>
        </w:tc>
        <w:tc>
          <w:tcPr>
            <w:tcW w:w="2877" w:type="dxa"/>
          </w:tcPr>
          <w:p w14:paraId="48E56F38" w14:textId="77777777" w:rsidR="00F22997" w:rsidRDefault="00F22997"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w:t>
            </w:r>
          </w:p>
        </w:tc>
        <w:tc>
          <w:tcPr>
            <w:tcW w:w="2784" w:type="dxa"/>
          </w:tcPr>
          <w:p w14:paraId="24E88233" w14:textId="77777777" w:rsidR="00F22997" w:rsidRDefault="003C5253"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24.7</w:t>
            </w:r>
          </w:p>
        </w:tc>
      </w:tr>
    </w:tbl>
    <w:p w14:paraId="19AC83A5" w14:textId="77777777" w:rsidR="009B29F3" w:rsidRDefault="009B29F3" w:rsidP="009B29F3">
      <w:pPr>
        <w:spacing w:after="0"/>
        <w:rPr>
          <w:rFonts w:ascii="Verdana" w:hAnsi="Verdana"/>
          <w:b/>
        </w:rPr>
      </w:pPr>
    </w:p>
    <w:p w14:paraId="60A521F8" w14:textId="767889FF" w:rsidR="00526BCF" w:rsidRPr="0091027A" w:rsidRDefault="00526BCF" w:rsidP="00526BCF">
      <w:pPr>
        <w:widowControl w:val="0"/>
        <w:spacing w:after="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In the 202</w:t>
      </w:r>
      <w:r w:rsidR="00416998">
        <w:rPr>
          <w:rFonts w:ascii="Verdana" w:eastAsia="Times New Roman" w:hAnsi="Verdana" w:cs="Calibri"/>
          <w:color w:val="000000"/>
          <w:kern w:val="28"/>
          <w:lang w:eastAsia="en-GB"/>
          <w14:cntxtAlts/>
        </w:rPr>
        <w:t>2</w:t>
      </w:r>
      <w:r>
        <w:rPr>
          <w:rFonts w:ascii="Verdana" w:eastAsia="Times New Roman" w:hAnsi="Verdana" w:cs="Calibri"/>
          <w:color w:val="000000"/>
          <w:kern w:val="28"/>
          <w:lang w:eastAsia="en-GB"/>
          <w14:cntxtAlts/>
        </w:rPr>
        <w:t xml:space="preserve"> reporting period </w:t>
      </w:r>
      <w:r w:rsidR="00416998">
        <w:rPr>
          <w:rFonts w:ascii="Verdana" w:eastAsia="Times New Roman" w:hAnsi="Verdana" w:cs="Calibri"/>
          <w:color w:val="000000"/>
          <w:kern w:val="28"/>
          <w:lang w:eastAsia="en-GB"/>
          <w14:cntxtAlts/>
        </w:rPr>
        <w:t>six</w:t>
      </w:r>
      <w:r>
        <w:rPr>
          <w:rFonts w:ascii="Verdana" w:eastAsia="Times New Roman" w:hAnsi="Verdana" w:cs="Calibri"/>
          <w:color w:val="000000"/>
          <w:kern w:val="28"/>
          <w:lang w:eastAsia="en-GB"/>
          <w14:cntxtAlts/>
        </w:rPr>
        <w:t xml:space="preserve"> bonus/merit award payments were made to employees, however Long Service Award</w:t>
      </w:r>
      <w:r w:rsidR="000621F1">
        <w:rPr>
          <w:rFonts w:ascii="Verdana" w:eastAsia="Times New Roman" w:hAnsi="Verdana" w:cs="Calibri"/>
          <w:color w:val="000000"/>
          <w:kern w:val="28"/>
          <w:lang w:eastAsia="en-GB"/>
          <w14:cntxtAlts/>
        </w:rPr>
        <w:t xml:space="preserve"> </w:t>
      </w:r>
      <w:r>
        <w:rPr>
          <w:rFonts w:ascii="Verdana" w:eastAsia="Times New Roman" w:hAnsi="Verdana" w:cs="Calibri"/>
          <w:color w:val="000000"/>
          <w:kern w:val="28"/>
          <w:lang w:eastAsia="en-GB"/>
          <w14:cntxtAlts/>
        </w:rPr>
        <w:t>payments are included in the bonus payment calculations and w</w:t>
      </w:r>
      <w:r w:rsidR="00416998">
        <w:rPr>
          <w:rFonts w:ascii="Verdana" w:eastAsia="Times New Roman" w:hAnsi="Verdana" w:cs="Calibri"/>
          <w:color w:val="000000"/>
          <w:kern w:val="28"/>
          <w:lang w:eastAsia="en-GB"/>
          <w14:cntxtAlts/>
        </w:rPr>
        <w:t>as</w:t>
      </w:r>
      <w:r>
        <w:rPr>
          <w:rFonts w:ascii="Verdana" w:eastAsia="Times New Roman" w:hAnsi="Verdana" w:cs="Calibri"/>
          <w:color w:val="000000"/>
          <w:kern w:val="28"/>
          <w:lang w:eastAsia="en-GB"/>
          <w14:cntxtAlts/>
        </w:rPr>
        <w:t xml:space="preserve"> paid to </w:t>
      </w:r>
      <w:r w:rsidR="00416998">
        <w:rPr>
          <w:rFonts w:ascii="Verdana" w:eastAsia="Times New Roman" w:hAnsi="Verdana" w:cs="Calibri"/>
          <w:color w:val="000000"/>
          <w:kern w:val="28"/>
          <w:lang w:eastAsia="en-GB"/>
          <w14:cntxtAlts/>
        </w:rPr>
        <w:t xml:space="preserve">the five </w:t>
      </w:r>
      <w:r>
        <w:rPr>
          <w:rFonts w:ascii="Verdana" w:eastAsia="Times New Roman" w:hAnsi="Verdana" w:cs="Calibri"/>
          <w:color w:val="000000"/>
          <w:kern w:val="28"/>
          <w:lang w:eastAsia="en-GB"/>
          <w14:cntxtAlts/>
        </w:rPr>
        <w:t>male</w:t>
      </w:r>
      <w:r w:rsidR="0000150A">
        <w:rPr>
          <w:rFonts w:ascii="Verdana" w:eastAsia="Times New Roman" w:hAnsi="Verdana" w:cs="Calibri"/>
          <w:color w:val="000000"/>
          <w:kern w:val="28"/>
          <w:lang w:eastAsia="en-GB"/>
          <w14:cntxtAlts/>
        </w:rPr>
        <w:t xml:space="preserve"> employee</w:t>
      </w:r>
      <w:r>
        <w:rPr>
          <w:rFonts w:ascii="Verdana" w:eastAsia="Times New Roman" w:hAnsi="Verdana" w:cs="Calibri"/>
          <w:color w:val="000000"/>
          <w:kern w:val="28"/>
          <w:lang w:eastAsia="en-GB"/>
          <w14:cntxtAlts/>
        </w:rPr>
        <w:t xml:space="preserve">s within this reporting period. </w:t>
      </w:r>
    </w:p>
    <w:p w14:paraId="7B85C4D6" w14:textId="1B2C3B01" w:rsidR="00416998" w:rsidRDefault="00416998" w:rsidP="00F626C1">
      <w:pPr>
        <w:spacing w:before="240"/>
        <w:rPr>
          <w:rFonts w:ascii="Verdana" w:hAnsi="Verdana"/>
          <w:b/>
        </w:rPr>
      </w:pPr>
    </w:p>
    <w:p w14:paraId="0AE05581" w14:textId="77777777" w:rsidR="0000150A" w:rsidRDefault="0000150A" w:rsidP="00F626C1">
      <w:pPr>
        <w:spacing w:before="240"/>
        <w:rPr>
          <w:rFonts w:ascii="Verdana" w:hAnsi="Verdana"/>
          <w:b/>
        </w:rPr>
      </w:pPr>
    </w:p>
    <w:p w14:paraId="4C547D45" w14:textId="55DD3E87" w:rsidR="00A52223" w:rsidRPr="00F22997" w:rsidRDefault="004E71BD" w:rsidP="00F626C1">
      <w:pPr>
        <w:spacing w:before="240"/>
        <w:rPr>
          <w:rFonts w:ascii="Verdana" w:hAnsi="Verdana"/>
          <w:b/>
        </w:rPr>
      </w:pPr>
      <w:r>
        <w:rPr>
          <w:rFonts w:ascii="Verdana" w:hAnsi="Verdana"/>
          <w:b/>
        </w:rPr>
        <w:lastRenderedPageBreak/>
        <w:t>6</w:t>
      </w:r>
      <w:r w:rsidR="00A52223" w:rsidRPr="00F22997">
        <w:rPr>
          <w:rFonts w:ascii="Verdana" w:hAnsi="Verdana"/>
          <w:b/>
        </w:rPr>
        <w:t xml:space="preserve">. Quartile Pay Bands </w:t>
      </w:r>
    </w:p>
    <w:p w14:paraId="60569C3A" w14:textId="77777777" w:rsidR="00A52223" w:rsidRPr="00A52223" w:rsidRDefault="00A52223" w:rsidP="00A52223">
      <w:pPr>
        <w:rPr>
          <w:rFonts w:ascii="Verdana" w:hAnsi="Verdana"/>
        </w:rPr>
      </w:pPr>
      <w:r w:rsidRPr="00A52223">
        <w:rPr>
          <w:rFonts w:ascii="Verdana" w:hAnsi="Verdana"/>
        </w:rPr>
        <w:t>The proportions of male and female full-pay relevant employees in the lower (L), lower middle (LM), upper middle (UM) and upper (U) quartile</w:t>
      </w:r>
      <w:r w:rsidR="00474F1F">
        <w:rPr>
          <w:rFonts w:ascii="Verdana" w:hAnsi="Verdana"/>
        </w:rPr>
        <w:t>s and the</w:t>
      </w:r>
      <w:r w:rsidRPr="00A52223">
        <w:rPr>
          <w:rFonts w:ascii="Verdana" w:hAnsi="Verdana"/>
        </w:rPr>
        <w:t xml:space="preserve"> equally distributed pay bands.</w:t>
      </w:r>
    </w:p>
    <w:p w14:paraId="75B446F1" w14:textId="77777777" w:rsidR="00F22997" w:rsidRDefault="00A52223" w:rsidP="00A52223">
      <w:pPr>
        <w:rPr>
          <w:rFonts w:ascii="Verdana" w:hAnsi="Verdana"/>
        </w:rPr>
      </w:pPr>
      <w:r w:rsidRPr="00A52223">
        <w:rPr>
          <w:rFonts w:ascii="Verdana" w:hAnsi="Verdana"/>
        </w:rPr>
        <w:t xml:space="preserve">To determine quartiles, employees </w:t>
      </w:r>
      <w:r w:rsidR="00474F1F">
        <w:rPr>
          <w:rFonts w:ascii="Verdana" w:hAnsi="Verdana"/>
        </w:rPr>
        <w:t>are</w:t>
      </w:r>
      <w:r w:rsidRPr="00A52223">
        <w:rPr>
          <w:rFonts w:ascii="Verdana" w:hAnsi="Verdana"/>
        </w:rPr>
        <w:t xml:space="preserve"> ranked in order of their hourly rate</w:t>
      </w:r>
      <w:r w:rsidR="00474F1F">
        <w:rPr>
          <w:rFonts w:ascii="Verdana" w:hAnsi="Verdana"/>
        </w:rPr>
        <w:t xml:space="preserve"> of pay;</w:t>
      </w:r>
      <w:r w:rsidRPr="00A52223">
        <w:rPr>
          <w:rFonts w:ascii="Verdana" w:hAnsi="Verdana"/>
        </w:rPr>
        <w:t xml:space="preserve"> from </w:t>
      </w:r>
      <w:r w:rsidR="00586340">
        <w:rPr>
          <w:rFonts w:ascii="Verdana" w:hAnsi="Verdana"/>
        </w:rPr>
        <w:t xml:space="preserve">lowest to </w:t>
      </w:r>
      <w:r w:rsidRPr="00A52223">
        <w:rPr>
          <w:rFonts w:ascii="Verdana" w:hAnsi="Verdana"/>
        </w:rPr>
        <w:t>highest</w:t>
      </w:r>
      <w:r w:rsidR="00586340">
        <w:rPr>
          <w:rFonts w:ascii="Verdana" w:hAnsi="Verdana"/>
        </w:rPr>
        <w:t>,</w:t>
      </w:r>
      <w:r w:rsidRPr="00A52223">
        <w:rPr>
          <w:rFonts w:ascii="Verdana" w:hAnsi="Verdana"/>
        </w:rPr>
        <w:t xml:space="preserve"> and divided into four equal groups, according to the guidelines. </w:t>
      </w:r>
    </w:p>
    <w:p w14:paraId="2DDCEE48" w14:textId="0B216753" w:rsidR="002E5FEB" w:rsidRDefault="002E5FEB" w:rsidP="00A52223">
      <w:pPr>
        <w:rPr>
          <w:rFonts w:ascii="Verdana" w:hAnsi="Verdana"/>
        </w:rPr>
      </w:pPr>
      <w:r>
        <w:rPr>
          <w:rFonts w:ascii="Verdana" w:hAnsi="Verdana"/>
        </w:rPr>
        <w:t xml:space="preserve">For the </w:t>
      </w:r>
      <w:r w:rsidR="00416998">
        <w:rPr>
          <w:rFonts w:ascii="Verdana" w:hAnsi="Verdana"/>
        </w:rPr>
        <w:t>six</w:t>
      </w:r>
      <w:r w:rsidR="000621F1">
        <w:rPr>
          <w:rFonts w:ascii="Verdana" w:hAnsi="Verdana"/>
        </w:rPr>
        <w:t xml:space="preserve"> c</w:t>
      </w:r>
      <w:r>
        <w:rPr>
          <w:rFonts w:ascii="Verdana" w:hAnsi="Verdana"/>
        </w:rPr>
        <w:t xml:space="preserve">onsecutive year, the highest proportion of females </w:t>
      </w:r>
      <w:r w:rsidR="003F2EA6">
        <w:rPr>
          <w:rFonts w:ascii="Verdana" w:hAnsi="Verdana"/>
        </w:rPr>
        <w:t>is</w:t>
      </w:r>
      <w:r>
        <w:rPr>
          <w:rFonts w:ascii="Verdana" w:hAnsi="Verdana"/>
        </w:rPr>
        <w:t xml:space="preserve"> within in the lower quartile</w:t>
      </w:r>
      <w:r w:rsidR="00C50FEE">
        <w:rPr>
          <w:rFonts w:ascii="Verdana" w:hAnsi="Verdana"/>
        </w:rPr>
        <w:t xml:space="preserve">, representing </w:t>
      </w:r>
      <w:r w:rsidR="00416998">
        <w:rPr>
          <w:rFonts w:ascii="Verdana" w:hAnsi="Verdana"/>
        </w:rPr>
        <w:t>36.0</w:t>
      </w:r>
      <w:r w:rsidR="00C50FEE">
        <w:rPr>
          <w:rFonts w:ascii="Verdana" w:hAnsi="Verdana"/>
        </w:rPr>
        <w:t xml:space="preserve"> per cent of the </w:t>
      </w:r>
      <w:r w:rsidR="009E36E4">
        <w:rPr>
          <w:rFonts w:ascii="Verdana" w:hAnsi="Verdana"/>
        </w:rPr>
        <w:t>total female workforce</w:t>
      </w:r>
      <w:r w:rsidR="00416998">
        <w:rPr>
          <w:rFonts w:ascii="Verdana" w:hAnsi="Verdana"/>
        </w:rPr>
        <w:t>, this is down from 42.4 per cent in 2021</w:t>
      </w:r>
      <w:r w:rsidR="009E36E4">
        <w:rPr>
          <w:rFonts w:ascii="Verdana" w:hAnsi="Verdana"/>
        </w:rPr>
        <w:t>. In comparison, the</w:t>
      </w:r>
      <w:r>
        <w:rPr>
          <w:rFonts w:ascii="Verdana" w:hAnsi="Verdana"/>
        </w:rPr>
        <w:t xml:space="preserve"> </w:t>
      </w:r>
      <w:r w:rsidR="009E36E4">
        <w:rPr>
          <w:rFonts w:ascii="Verdana" w:hAnsi="Verdana"/>
        </w:rPr>
        <w:t xml:space="preserve">percentage of the total male workforce </w:t>
      </w:r>
      <w:r w:rsidR="004F6417">
        <w:rPr>
          <w:rFonts w:ascii="Verdana" w:hAnsi="Verdana"/>
        </w:rPr>
        <w:t xml:space="preserve">in the lower quartile </w:t>
      </w:r>
      <w:r w:rsidR="009E36E4">
        <w:rPr>
          <w:rFonts w:ascii="Verdana" w:hAnsi="Verdana"/>
        </w:rPr>
        <w:t xml:space="preserve">is </w:t>
      </w:r>
      <w:r w:rsidR="00416998">
        <w:rPr>
          <w:rFonts w:ascii="Verdana" w:hAnsi="Verdana"/>
        </w:rPr>
        <w:t xml:space="preserve">22.4 per cent, which is slightly higher than 2021 at </w:t>
      </w:r>
      <w:r w:rsidR="000621F1">
        <w:rPr>
          <w:rFonts w:ascii="Verdana" w:hAnsi="Verdana"/>
        </w:rPr>
        <w:t>20.5</w:t>
      </w:r>
      <w:r w:rsidR="009E36E4">
        <w:rPr>
          <w:rFonts w:ascii="Verdana" w:hAnsi="Verdana"/>
        </w:rPr>
        <w:t xml:space="preserve"> per cent</w:t>
      </w:r>
      <w:r w:rsidR="00F47138">
        <w:rPr>
          <w:rFonts w:ascii="Verdana" w:hAnsi="Verdana"/>
        </w:rPr>
        <w:t xml:space="preserve">. </w:t>
      </w:r>
    </w:p>
    <w:p w14:paraId="5085ADFD" w14:textId="74E1E222" w:rsidR="0000150A" w:rsidRDefault="0000150A" w:rsidP="00A52223">
      <w:pPr>
        <w:rPr>
          <w:rFonts w:ascii="Verdana" w:hAnsi="Verdana"/>
        </w:rPr>
      </w:pPr>
      <w:r w:rsidRPr="0000150A">
        <w:rPr>
          <w:rFonts w:ascii="Verdana" w:hAnsi="Verdana"/>
        </w:rPr>
        <w:t xml:space="preserve">The </w:t>
      </w:r>
      <w:r>
        <w:rPr>
          <w:rFonts w:ascii="Verdana" w:hAnsi="Verdana"/>
        </w:rPr>
        <w:t>highest proportion of males is within the upper quartile again, representing 26.7 per cent of the total male workforce. In comparison, for females the upper quartile has the lowest representation, at 18 per cent, with the highest representation of females remaining in the lower quartile.</w:t>
      </w:r>
    </w:p>
    <w:p w14:paraId="18AD2F7C" w14:textId="70F13E3E" w:rsidR="00DF26FA" w:rsidRDefault="00447270" w:rsidP="00A52223">
      <w:pPr>
        <w:rPr>
          <w:rFonts w:ascii="Verdana" w:hAnsi="Verdana"/>
        </w:rPr>
      </w:pPr>
      <w:r>
        <w:rPr>
          <w:rFonts w:ascii="Verdana" w:hAnsi="Verdana"/>
        </w:rPr>
        <w:t>Size of the change to quartiles from 2021:</w:t>
      </w:r>
    </w:p>
    <w:tbl>
      <w:tblPr>
        <w:tblStyle w:val="TableGrid"/>
        <w:tblW w:w="9493" w:type="dxa"/>
        <w:tblLook w:val="04A0" w:firstRow="1" w:lastRow="0" w:firstColumn="1" w:lastColumn="0" w:noHBand="0" w:noVBand="1"/>
      </w:tblPr>
      <w:tblGrid>
        <w:gridCol w:w="3681"/>
        <w:gridCol w:w="1134"/>
        <w:gridCol w:w="1276"/>
        <w:gridCol w:w="1134"/>
        <w:gridCol w:w="1134"/>
        <w:gridCol w:w="1134"/>
      </w:tblGrid>
      <w:tr w:rsidR="00D33D03" w:rsidRPr="00D33D03" w14:paraId="49355743" w14:textId="027FBBFE" w:rsidTr="00D33D03">
        <w:tc>
          <w:tcPr>
            <w:tcW w:w="3681" w:type="dxa"/>
            <w:shd w:val="clear" w:color="auto" w:fill="D9D9D9" w:themeFill="background1" w:themeFillShade="D9"/>
          </w:tcPr>
          <w:p w14:paraId="170FC88B" w14:textId="478C0197" w:rsidR="00D33D03" w:rsidRPr="00D33D03" w:rsidRDefault="00D33D03" w:rsidP="00C4114B">
            <w:pPr>
              <w:spacing w:line="276" w:lineRule="auto"/>
              <w:rPr>
                <w:rFonts w:ascii="Verdana" w:hAnsi="Verdana"/>
              </w:rPr>
            </w:pPr>
            <w:bookmarkStart w:id="4" w:name="_Hlk125023273"/>
            <w:r w:rsidRPr="00D33D03">
              <w:rPr>
                <w:rFonts w:ascii="Verdana" w:hAnsi="Verdana"/>
              </w:rPr>
              <w:t>Quarti</w:t>
            </w:r>
            <w:r w:rsidRPr="00D33D03">
              <w:rPr>
                <w:rFonts w:ascii="Verdana" w:hAnsi="Verdana"/>
                <w:shd w:val="clear" w:color="auto" w:fill="D9D9D9" w:themeFill="background1" w:themeFillShade="D9"/>
              </w:rPr>
              <w:t xml:space="preserve">le changes </w:t>
            </w:r>
          </w:p>
        </w:tc>
        <w:tc>
          <w:tcPr>
            <w:tcW w:w="1134" w:type="dxa"/>
            <w:shd w:val="clear" w:color="auto" w:fill="D9D9D9" w:themeFill="background1" w:themeFillShade="D9"/>
          </w:tcPr>
          <w:p w14:paraId="6E3649EE" w14:textId="78768DE6" w:rsidR="00D33D03" w:rsidRPr="00D33D03" w:rsidRDefault="00D33D03" w:rsidP="00C4114B">
            <w:pPr>
              <w:spacing w:line="276" w:lineRule="auto"/>
              <w:rPr>
                <w:rFonts w:ascii="Verdana" w:hAnsi="Verdana"/>
              </w:rPr>
            </w:pPr>
            <w:r w:rsidRPr="00D33D03">
              <w:rPr>
                <w:rFonts w:ascii="Verdana" w:hAnsi="Verdana"/>
              </w:rPr>
              <w:t xml:space="preserve">% </w:t>
            </w:r>
            <w:proofErr w:type="gramStart"/>
            <w:r w:rsidRPr="00D33D03">
              <w:rPr>
                <w:rFonts w:ascii="Verdana" w:hAnsi="Verdana"/>
              </w:rPr>
              <w:t>for</w:t>
            </w:r>
            <w:proofErr w:type="gramEnd"/>
            <w:r w:rsidRPr="00D33D03">
              <w:rPr>
                <w:rFonts w:ascii="Verdana" w:hAnsi="Verdana"/>
              </w:rPr>
              <w:t xml:space="preserve"> males</w:t>
            </w:r>
          </w:p>
        </w:tc>
        <w:tc>
          <w:tcPr>
            <w:tcW w:w="1276" w:type="dxa"/>
            <w:shd w:val="clear" w:color="auto" w:fill="D9D9D9" w:themeFill="background1" w:themeFillShade="D9"/>
          </w:tcPr>
          <w:p w14:paraId="39310D57" w14:textId="05C7051A" w:rsidR="00D33D03" w:rsidRPr="00D33D03" w:rsidRDefault="00D33D03" w:rsidP="00C4114B">
            <w:pPr>
              <w:rPr>
                <w:rFonts w:ascii="Verdana" w:hAnsi="Verdana"/>
              </w:rPr>
            </w:pPr>
            <w:r w:rsidRPr="00D33D03">
              <w:rPr>
                <w:rFonts w:ascii="Verdana" w:hAnsi="Verdana"/>
              </w:rPr>
              <w:t>Total for males</w:t>
            </w:r>
          </w:p>
        </w:tc>
        <w:tc>
          <w:tcPr>
            <w:tcW w:w="1134" w:type="dxa"/>
            <w:shd w:val="clear" w:color="auto" w:fill="D9D9D9" w:themeFill="background1" w:themeFillShade="D9"/>
          </w:tcPr>
          <w:p w14:paraId="33666ADF" w14:textId="51ABDF7A" w:rsidR="00D33D03" w:rsidRPr="00D33D03" w:rsidRDefault="00D33D03" w:rsidP="00C4114B">
            <w:pPr>
              <w:spacing w:line="276" w:lineRule="auto"/>
              <w:rPr>
                <w:rFonts w:ascii="Verdana" w:hAnsi="Verdana"/>
              </w:rPr>
            </w:pPr>
            <w:r w:rsidRPr="00D33D03">
              <w:rPr>
                <w:rFonts w:ascii="Verdana" w:hAnsi="Verdana"/>
              </w:rPr>
              <w:t xml:space="preserve">% </w:t>
            </w:r>
            <w:proofErr w:type="gramStart"/>
            <w:r w:rsidRPr="00D33D03">
              <w:rPr>
                <w:rFonts w:ascii="Verdana" w:hAnsi="Verdana"/>
              </w:rPr>
              <w:t>for</w:t>
            </w:r>
            <w:proofErr w:type="gramEnd"/>
            <w:r w:rsidRPr="00D33D03">
              <w:rPr>
                <w:rFonts w:ascii="Verdana" w:hAnsi="Verdana"/>
              </w:rPr>
              <w:t xml:space="preserve"> females </w:t>
            </w:r>
          </w:p>
        </w:tc>
        <w:tc>
          <w:tcPr>
            <w:tcW w:w="1134" w:type="dxa"/>
            <w:shd w:val="clear" w:color="auto" w:fill="D9D9D9" w:themeFill="background1" w:themeFillShade="D9"/>
          </w:tcPr>
          <w:p w14:paraId="5CD1A24D" w14:textId="4C1D60FF" w:rsidR="00D33D03" w:rsidRPr="00D33D03" w:rsidRDefault="00D33D03" w:rsidP="00C4114B">
            <w:pPr>
              <w:rPr>
                <w:rFonts w:ascii="Verdana" w:hAnsi="Verdana"/>
              </w:rPr>
            </w:pPr>
            <w:r w:rsidRPr="00D33D03">
              <w:rPr>
                <w:rFonts w:ascii="Verdana" w:hAnsi="Verdana"/>
              </w:rPr>
              <w:t xml:space="preserve">Total for females </w:t>
            </w:r>
          </w:p>
        </w:tc>
        <w:tc>
          <w:tcPr>
            <w:tcW w:w="1134" w:type="dxa"/>
            <w:shd w:val="clear" w:color="auto" w:fill="D9D9D9" w:themeFill="background1" w:themeFillShade="D9"/>
          </w:tcPr>
          <w:p w14:paraId="795BA15D" w14:textId="4AD0F527" w:rsidR="00D33D03" w:rsidRPr="00D33D03" w:rsidRDefault="00D33D03" w:rsidP="00C4114B">
            <w:pPr>
              <w:rPr>
                <w:rFonts w:ascii="Verdana" w:hAnsi="Verdana"/>
              </w:rPr>
            </w:pPr>
            <w:r w:rsidRPr="00D33D03">
              <w:rPr>
                <w:rFonts w:ascii="Verdana" w:hAnsi="Verdana"/>
              </w:rPr>
              <w:t xml:space="preserve">Overall total </w:t>
            </w:r>
          </w:p>
        </w:tc>
      </w:tr>
      <w:tr w:rsidR="00D33D03" w:rsidRPr="00D33D03" w14:paraId="007B1B7B" w14:textId="4B4A5F6D" w:rsidTr="00D33D03">
        <w:tc>
          <w:tcPr>
            <w:tcW w:w="3681" w:type="dxa"/>
          </w:tcPr>
          <w:p w14:paraId="1E61851A" w14:textId="065D960B" w:rsidR="00D33D03" w:rsidRPr="00D33D03" w:rsidRDefault="00D33D03" w:rsidP="00C4114B">
            <w:pPr>
              <w:spacing w:line="276" w:lineRule="auto"/>
              <w:rPr>
                <w:rFonts w:ascii="Verdana" w:hAnsi="Verdana"/>
              </w:rPr>
            </w:pPr>
            <w:r w:rsidRPr="00D33D03">
              <w:rPr>
                <w:rFonts w:ascii="Verdana" w:hAnsi="Verdana"/>
              </w:rPr>
              <w:t xml:space="preserve">Up </w:t>
            </w:r>
          </w:p>
        </w:tc>
        <w:tc>
          <w:tcPr>
            <w:tcW w:w="1134" w:type="dxa"/>
          </w:tcPr>
          <w:p w14:paraId="7C530B5A" w14:textId="100274EE" w:rsidR="00D33D03" w:rsidRPr="00D33D03" w:rsidRDefault="00D33D03" w:rsidP="00C4114B">
            <w:pPr>
              <w:spacing w:line="276" w:lineRule="auto"/>
              <w:jc w:val="center"/>
              <w:rPr>
                <w:rFonts w:ascii="Verdana" w:hAnsi="Verdana"/>
              </w:rPr>
            </w:pPr>
            <w:r w:rsidRPr="00D33D03">
              <w:rPr>
                <w:rFonts w:ascii="Verdana" w:hAnsi="Verdana"/>
              </w:rPr>
              <w:t>18</w:t>
            </w:r>
          </w:p>
        </w:tc>
        <w:tc>
          <w:tcPr>
            <w:tcW w:w="1276" w:type="dxa"/>
          </w:tcPr>
          <w:p w14:paraId="1D564773" w14:textId="056E950F" w:rsidR="00D33D03" w:rsidRPr="00D33D03" w:rsidRDefault="00D33D03" w:rsidP="00C4114B">
            <w:pPr>
              <w:jc w:val="center"/>
              <w:rPr>
                <w:rFonts w:ascii="Verdana" w:hAnsi="Verdana"/>
              </w:rPr>
            </w:pPr>
            <w:r w:rsidRPr="00D33D03">
              <w:rPr>
                <w:rFonts w:ascii="Verdana" w:hAnsi="Verdana"/>
              </w:rPr>
              <w:t>69</w:t>
            </w:r>
          </w:p>
        </w:tc>
        <w:tc>
          <w:tcPr>
            <w:tcW w:w="1134" w:type="dxa"/>
          </w:tcPr>
          <w:p w14:paraId="66E1E950" w14:textId="607E65A8" w:rsidR="00D33D03" w:rsidRPr="00D33D03" w:rsidRDefault="00D33D03" w:rsidP="00C4114B">
            <w:pPr>
              <w:spacing w:line="276" w:lineRule="auto"/>
              <w:jc w:val="center"/>
              <w:rPr>
                <w:rFonts w:ascii="Verdana" w:hAnsi="Verdana"/>
              </w:rPr>
            </w:pPr>
            <w:r w:rsidRPr="00D33D03">
              <w:rPr>
                <w:rFonts w:ascii="Verdana" w:hAnsi="Verdana"/>
              </w:rPr>
              <w:t>13</w:t>
            </w:r>
          </w:p>
        </w:tc>
        <w:tc>
          <w:tcPr>
            <w:tcW w:w="1134" w:type="dxa"/>
          </w:tcPr>
          <w:p w14:paraId="1428AF08" w14:textId="2F6DEAD5" w:rsidR="00D33D03" w:rsidRPr="00D33D03" w:rsidRDefault="00D33D03" w:rsidP="00C4114B">
            <w:pPr>
              <w:jc w:val="center"/>
              <w:rPr>
                <w:rFonts w:ascii="Verdana" w:hAnsi="Verdana"/>
              </w:rPr>
            </w:pPr>
            <w:r w:rsidRPr="00D33D03">
              <w:rPr>
                <w:rFonts w:ascii="Verdana" w:hAnsi="Verdana"/>
              </w:rPr>
              <w:t>12</w:t>
            </w:r>
          </w:p>
        </w:tc>
        <w:tc>
          <w:tcPr>
            <w:tcW w:w="1134" w:type="dxa"/>
          </w:tcPr>
          <w:p w14:paraId="7F3BC610" w14:textId="2D4D1F76" w:rsidR="00D33D03" w:rsidRPr="00D33D03" w:rsidRDefault="00D33D03" w:rsidP="00C4114B">
            <w:pPr>
              <w:jc w:val="center"/>
              <w:rPr>
                <w:rFonts w:ascii="Verdana" w:hAnsi="Verdana"/>
              </w:rPr>
            </w:pPr>
            <w:r>
              <w:rPr>
                <w:rFonts w:ascii="Verdana" w:hAnsi="Verdana"/>
              </w:rPr>
              <w:t>81</w:t>
            </w:r>
          </w:p>
        </w:tc>
      </w:tr>
      <w:tr w:rsidR="00D33D03" w:rsidRPr="00D33D03" w14:paraId="772B08C0" w14:textId="332A627A" w:rsidTr="00D33D03">
        <w:tc>
          <w:tcPr>
            <w:tcW w:w="3681" w:type="dxa"/>
          </w:tcPr>
          <w:p w14:paraId="0DDA0013" w14:textId="3ECB837D" w:rsidR="00D33D03" w:rsidRPr="00D33D03" w:rsidRDefault="00D33D03" w:rsidP="00C4114B">
            <w:pPr>
              <w:spacing w:line="276" w:lineRule="auto"/>
              <w:rPr>
                <w:rFonts w:ascii="Verdana" w:hAnsi="Verdana"/>
              </w:rPr>
            </w:pPr>
            <w:r w:rsidRPr="00D33D03">
              <w:rPr>
                <w:rFonts w:ascii="Verdana" w:hAnsi="Verdana"/>
              </w:rPr>
              <w:t>Down</w:t>
            </w:r>
          </w:p>
        </w:tc>
        <w:tc>
          <w:tcPr>
            <w:tcW w:w="1134" w:type="dxa"/>
          </w:tcPr>
          <w:p w14:paraId="105186D0" w14:textId="494C763F" w:rsidR="00D33D03" w:rsidRPr="00D33D03" w:rsidRDefault="00D33D03" w:rsidP="00C4114B">
            <w:pPr>
              <w:spacing w:line="276" w:lineRule="auto"/>
              <w:jc w:val="center"/>
              <w:rPr>
                <w:rFonts w:ascii="Verdana" w:hAnsi="Verdana"/>
              </w:rPr>
            </w:pPr>
            <w:r w:rsidRPr="00D33D03">
              <w:rPr>
                <w:rFonts w:ascii="Verdana" w:hAnsi="Verdana"/>
              </w:rPr>
              <w:t>17</w:t>
            </w:r>
          </w:p>
        </w:tc>
        <w:tc>
          <w:tcPr>
            <w:tcW w:w="1276" w:type="dxa"/>
          </w:tcPr>
          <w:p w14:paraId="1C708C14" w14:textId="39642806" w:rsidR="00D33D03" w:rsidRPr="00D33D03" w:rsidRDefault="00D33D03" w:rsidP="00C4114B">
            <w:pPr>
              <w:jc w:val="center"/>
              <w:rPr>
                <w:rFonts w:ascii="Verdana" w:hAnsi="Verdana"/>
              </w:rPr>
            </w:pPr>
            <w:r w:rsidRPr="00D33D03">
              <w:rPr>
                <w:rFonts w:ascii="Verdana" w:hAnsi="Verdana"/>
              </w:rPr>
              <w:t>62</w:t>
            </w:r>
          </w:p>
        </w:tc>
        <w:tc>
          <w:tcPr>
            <w:tcW w:w="1134" w:type="dxa"/>
          </w:tcPr>
          <w:p w14:paraId="0E68F009" w14:textId="552BC7AE" w:rsidR="00D33D03" w:rsidRPr="00D33D03" w:rsidRDefault="00D33D03" w:rsidP="00C4114B">
            <w:pPr>
              <w:spacing w:line="276" w:lineRule="auto"/>
              <w:jc w:val="center"/>
              <w:rPr>
                <w:rFonts w:ascii="Verdana" w:hAnsi="Verdana"/>
              </w:rPr>
            </w:pPr>
            <w:r w:rsidRPr="00D33D03">
              <w:rPr>
                <w:rFonts w:ascii="Verdana" w:hAnsi="Verdana"/>
              </w:rPr>
              <w:t>9</w:t>
            </w:r>
            <w:r w:rsidR="00306537">
              <w:rPr>
                <w:rFonts w:ascii="Verdana" w:hAnsi="Verdana"/>
              </w:rPr>
              <w:t>.0</w:t>
            </w:r>
          </w:p>
        </w:tc>
        <w:tc>
          <w:tcPr>
            <w:tcW w:w="1134" w:type="dxa"/>
          </w:tcPr>
          <w:p w14:paraId="6F25629D" w14:textId="6CD2D80D" w:rsidR="00D33D03" w:rsidRPr="00D33D03" w:rsidRDefault="00D33D03" w:rsidP="00C4114B">
            <w:pPr>
              <w:jc w:val="center"/>
              <w:rPr>
                <w:rFonts w:ascii="Verdana" w:hAnsi="Verdana"/>
              </w:rPr>
            </w:pPr>
            <w:r w:rsidRPr="00D33D03">
              <w:rPr>
                <w:rFonts w:ascii="Verdana" w:hAnsi="Verdana"/>
              </w:rPr>
              <w:t>8</w:t>
            </w:r>
            <w:r w:rsidR="00306537">
              <w:rPr>
                <w:rFonts w:ascii="Verdana" w:hAnsi="Verdana"/>
              </w:rPr>
              <w:t>.0</w:t>
            </w:r>
          </w:p>
        </w:tc>
        <w:tc>
          <w:tcPr>
            <w:tcW w:w="1134" w:type="dxa"/>
          </w:tcPr>
          <w:p w14:paraId="7C10B629" w14:textId="22F6234C" w:rsidR="00D33D03" w:rsidRPr="00D33D03" w:rsidRDefault="00D33D03" w:rsidP="00C4114B">
            <w:pPr>
              <w:jc w:val="center"/>
              <w:rPr>
                <w:rFonts w:ascii="Verdana" w:hAnsi="Verdana"/>
              </w:rPr>
            </w:pPr>
            <w:r>
              <w:rPr>
                <w:rFonts w:ascii="Verdana" w:hAnsi="Verdana"/>
              </w:rPr>
              <w:t>70</w:t>
            </w:r>
          </w:p>
        </w:tc>
      </w:tr>
      <w:tr w:rsidR="00D33D03" w:rsidRPr="00D33D03" w14:paraId="17D54048" w14:textId="28294CEA" w:rsidTr="00D33D03">
        <w:tc>
          <w:tcPr>
            <w:tcW w:w="3681" w:type="dxa"/>
          </w:tcPr>
          <w:p w14:paraId="48FBA26A" w14:textId="4FFDF48F" w:rsidR="00D33D03" w:rsidRPr="00D33D03" w:rsidRDefault="00D33D03" w:rsidP="00C4114B">
            <w:pPr>
              <w:spacing w:line="276" w:lineRule="auto"/>
              <w:rPr>
                <w:rFonts w:ascii="Verdana" w:hAnsi="Verdana"/>
              </w:rPr>
            </w:pPr>
            <w:r w:rsidRPr="00D33D03">
              <w:rPr>
                <w:rFonts w:ascii="Verdana" w:hAnsi="Verdana"/>
              </w:rPr>
              <w:t>Same</w:t>
            </w:r>
          </w:p>
        </w:tc>
        <w:tc>
          <w:tcPr>
            <w:tcW w:w="1134" w:type="dxa"/>
          </w:tcPr>
          <w:p w14:paraId="2990722A" w14:textId="15613A09" w:rsidR="00D33D03" w:rsidRPr="00D33D03" w:rsidRDefault="00D33D03" w:rsidP="00C4114B">
            <w:pPr>
              <w:spacing w:line="276" w:lineRule="auto"/>
              <w:jc w:val="center"/>
              <w:rPr>
                <w:rFonts w:ascii="Verdana" w:hAnsi="Verdana"/>
              </w:rPr>
            </w:pPr>
            <w:r w:rsidRPr="00D33D03">
              <w:rPr>
                <w:rFonts w:ascii="Verdana" w:hAnsi="Verdana"/>
              </w:rPr>
              <w:t>54</w:t>
            </w:r>
          </w:p>
        </w:tc>
        <w:tc>
          <w:tcPr>
            <w:tcW w:w="1276" w:type="dxa"/>
          </w:tcPr>
          <w:p w14:paraId="26250820" w14:textId="77CF26F9" w:rsidR="00D33D03" w:rsidRPr="00D33D03" w:rsidRDefault="00D33D03" w:rsidP="00C4114B">
            <w:pPr>
              <w:jc w:val="center"/>
              <w:rPr>
                <w:rFonts w:ascii="Verdana" w:hAnsi="Verdana"/>
              </w:rPr>
            </w:pPr>
            <w:r w:rsidRPr="00D33D03">
              <w:rPr>
                <w:rFonts w:ascii="Verdana" w:hAnsi="Verdana"/>
              </w:rPr>
              <w:t>202</w:t>
            </w:r>
          </w:p>
        </w:tc>
        <w:tc>
          <w:tcPr>
            <w:tcW w:w="1134" w:type="dxa"/>
          </w:tcPr>
          <w:p w14:paraId="6071E81B" w14:textId="0B6BBACA" w:rsidR="00D33D03" w:rsidRPr="00D33D03" w:rsidRDefault="00D33D03" w:rsidP="00C4114B">
            <w:pPr>
              <w:spacing w:line="276" w:lineRule="auto"/>
              <w:jc w:val="center"/>
              <w:rPr>
                <w:rFonts w:ascii="Verdana" w:hAnsi="Verdana"/>
              </w:rPr>
            </w:pPr>
            <w:r w:rsidRPr="00D33D03">
              <w:rPr>
                <w:rFonts w:ascii="Verdana" w:hAnsi="Verdana"/>
              </w:rPr>
              <w:t>70</w:t>
            </w:r>
          </w:p>
        </w:tc>
        <w:tc>
          <w:tcPr>
            <w:tcW w:w="1134" w:type="dxa"/>
          </w:tcPr>
          <w:p w14:paraId="5D2A8926" w14:textId="3E30ECFA" w:rsidR="00D33D03" w:rsidRPr="00D33D03" w:rsidRDefault="00D33D03" w:rsidP="00C4114B">
            <w:pPr>
              <w:jc w:val="center"/>
              <w:rPr>
                <w:rFonts w:ascii="Verdana" w:hAnsi="Verdana"/>
              </w:rPr>
            </w:pPr>
            <w:r w:rsidRPr="00D33D03">
              <w:rPr>
                <w:rFonts w:ascii="Verdana" w:hAnsi="Verdana"/>
              </w:rPr>
              <w:t>62</w:t>
            </w:r>
          </w:p>
        </w:tc>
        <w:tc>
          <w:tcPr>
            <w:tcW w:w="1134" w:type="dxa"/>
          </w:tcPr>
          <w:p w14:paraId="537876F6" w14:textId="7A778777" w:rsidR="00D33D03" w:rsidRPr="00D33D03" w:rsidRDefault="00D33D03" w:rsidP="00C4114B">
            <w:pPr>
              <w:jc w:val="center"/>
              <w:rPr>
                <w:rFonts w:ascii="Verdana" w:hAnsi="Verdana"/>
              </w:rPr>
            </w:pPr>
            <w:r>
              <w:rPr>
                <w:rFonts w:ascii="Verdana" w:hAnsi="Verdana"/>
              </w:rPr>
              <w:t>264</w:t>
            </w:r>
          </w:p>
        </w:tc>
      </w:tr>
      <w:tr w:rsidR="00D33D03" w:rsidRPr="00D33D03" w14:paraId="0AEB0968" w14:textId="4F789FEC" w:rsidTr="00D33D03">
        <w:trPr>
          <w:trHeight w:val="180"/>
        </w:trPr>
        <w:tc>
          <w:tcPr>
            <w:tcW w:w="3681" w:type="dxa"/>
          </w:tcPr>
          <w:p w14:paraId="6B0FC7AC" w14:textId="106E8268" w:rsidR="00D33D03" w:rsidRPr="00D33D03" w:rsidRDefault="00D33D03" w:rsidP="00C4114B">
            <w:pPr>
              <w:spacing w:line="276" w:lineRule="auto"/>
              <w:rPr>
                <w:rFonts w:ascii="Verdana" w:hAnsi="Verdana"/>
              </w:rPr>
            </w:pPr>
            <w:r w:rsidRPr="00D33D03">
              <w:rPr>
                <w:rFonts w:ascii="Verdana" w:hAnsi="Verdana"/>
              </w:rPr>
              <w:t>Not full</w:t>
            </w:r>
            <w:r w:rsidR="00273035">
              <w:rPr>
                <w:rFonts w:ascii="Verdana" w:hAnsi="Verdana"/>
              </w:rPr>
              <w:t>-</w:t>
            </w:r>
            <w:r w:rsidRPr="00D33D03">
              <w:rPr>
                <w:rFonts w:ascii="Verdana" w:hAnsi="Verdana"/>
              </w:rPr>
              <w:t xml:space="preserve">pay relevant </w:t>
            </w:r>
          </w:p>
        </w:tc>
        <w:tc>
          <w:tcPr>
            <w:tcW w:w="1134" w:type="dxa"/>
          </w:tcPr>
          <w:p w14:paraId="62EA786B" w14:textId="4DFC3B5E" w:rsidR="00D33D03" w:rsidRPr="00D33D03" w:rsidRDefault="00D33D03" w:rsidP="00C4114B">
            <w:pPr>
              <w:spacing w:line="276" w:lineRule="auto"/>
              <w:jc w:val="center"/>
              <w:rPr>
                <w:rFonts w:ascii="Verdana" w:hAnsi="Verdana"/>
              </w:rPr>
            </w:pPr>
            <w:r w:rsidRPr="00D33D03">
              <w:rPr>
                <w:rFonts w:ascii="Verdana" w:hAnsi="Verdana"/>
              </w:rPr>
              <w:t>11</w:t>
            </w:r>
          </w:p>
        </w:tc>
        <w:tc>
          <w:tcPr>
            <w:tcW w:w="1276" w:type="dxa"/>
          </w:tcPr>
          <w:p w14:paraId="4E93FBD6" w14:textId="4B6B1452" w:rsidR="00D33D03" w:rsidRPr="00D33D03" w:rsidRDefault="00D33D03" w:rsidP="00C4114B">
            <w:pPr>
              <w:jc w:val="center"/>
              <w:rPr>
                <w:rFonts w:ascii="Verdana" w:hAnsi="Verdana"/>
              </w:rPr>
            </w:pPr>
            <w:r w:rsidRPr="00D33D03">
              <w:rPr>
                <w:rFonts w:ascii="Verdana" w:hAnsi="Verdana"/>
              </w:rPr>
              <w:t>42</w:t>
            </w:r>
          </w:p>
        </w:tc>
        <w:tc>
          <w:tcPr>
            <w:tcW w:w="1134" w:type="dxa"/>
          </w:tcPr>
          <w:p w14:paraId="5F5C642D" w14:textId="696B84FB" w:rsidR="00D33D03" w:rsidRPr="00D33D03" w:rsidRDefault="00D33D03" w:rsidP="00C4114B">
            <w:pPr>
              <w:spacing w:line="276" w:lineRule="auto"/>
              <w:jc w:val="center"/>
              <w:rPr>
                <w:rFonts w:ascii="Verdana" w:hAnsi="Verdana"/>
              </w:rPr>
            </w:pPr>
            <w:r w:rsidRPr="00D33D03">
              <w:rPr>
                <w:rFonts w:ascii="Verdana" w:hAnsi="Verdana"/>
              </w:rPr>
              <w:t>8</w:t>
            </w:r>
            <w:r w:rsidR="00306537">
              <w:rPr>
                <w:rFonts w:ascii="Verdana" w:hAnsi="Verdana"/>
              </w:rPr>
              <w:t>.0</w:t>
            </w:r>
          </w:p>
        </w:tc>
        <w:tc>
          <w:tcPr>
            <w:tcW w:w="1134" w:type="dxa"/>
          </w:tcPr>
          <w:p w14:paraId="79C610CE" w14:textId="1D168967" w:rsidR="00D33D03" w:rsidRPr="00D33D03" w:rsidRDefault="00D33D03" w:rsidP="00C4114B">
            <w:pPr>
              <w:jc w:val="center"/>
              <w:rPr>
                <w:rFonts w:ascii="Verdana" w:hAnsi="Verdana"/>
              </w:rPr>
            </w:pPr>
            <w:r>
              <w:rPr>
                <w:rFonts w:ascii="Verdana" w:hAnsi="Verdana"/>
              </w:rPr>
              <w:t>7</w:t>
            </w:r>
            <w:r w:rsidR="00306537">
              <w:rPr>
                <w:rFonts w:ascii="Verdana" w:hAnsi="Verdana"/>
              </w:rPr>
              <w:t>.0</w:t>
            </w:r>
          </w:p>
        </w:tc>
        <w:tc>
          <w:tcPr>
            <w:tcW w:w="1134" w:type="dxa"/>
          </w:tcPr>
          <w:p w14:paraId="619BF16E" w14:textId="0D222E16" w:rsidR="00D33D03" w:rsidRPr="00D33D03" w:rsidRDefault="00D33D03" w:rsidP="00C4114B">
            <w:pPr>
              <w:jc w:val="center"/>
              <w:rPr>
                <w:rFonts w:ascii="Verdana" w:hAnsi="Verdana"/>
              </w:rPr>
            </w:pPr>
            <w:r>
              <w:rPr>
                <w:rFonts w:ascii="Verdana" w:hAnsi="Verdana"/>
              </w:rPr>
              <w:t>49</w:t>
            </w:r>
          </w:p>
        </w:tc>
      </w:tr>
      <w:tr w:rsidR="00D33D03" w:rsidRPr="00D33D03" w14:paraId="643887D6" w14:textId="3689FADA" w:rsidTr="00D33D03">
        <w:trPr>
          <w:trHeight w:val="180"/>
        </w:trPr>
        <w:tc>
          <w:tcPr>
            <w:tcW w:w="3681" w:type="dxa"/>
          </w:tcPr>
          <w:p w14:paraId="23DE89F2" w14:textId="2577E40B" w:rsidR="00D33D03" w:rsidRPr="00D33D03" w:rsidRDefault="00D33D03" w:rsidP="00C4114B">
            <w:pPr>
              <w:spacing w:line="276" w:lineRule="auto"/>
              <w:rPr>
                <w:rFonts w:ascii="Verdana" w:hAnsi="Verdana"/>
              </w:rPr>
            </w:pPr>
            <w:r w:rsidRPr="00D33D03">
              <w:rPr>
                <w:rFonts w:ascii="Verdana" w:hAnsi="Verdana"/>
              </w:rPr>
              <w:t>Total full</w:t>
            </w:r>
            <w:r w:rsidR="00273035">
              <w:rPr>
                <w:rFonts w:ascii="Verdana" w:hAnsi="Verdana"/>
              </w:rPr>
              <w:t>-</w:t>
            </w:r>
            <w:r w:rsidRPr="00D33D03">
              <w:rPr>
                <w:rFonts w:ascii="Verdana" w:hAnsi="Verdana"/>
              </w:rPr>
              <w:t>pay relevant employees</w:t>
            </w:r>
          </w:p>
        </w:tc>
        <w:tc>
          <w:tcPr>
            <w:tcW w:w="1134" w:type="dxa"/>
          </w:tcPr>
          <w:p w14:paraId="2B5ECF46" w14:textId="77777777" w:rsidR="00D33D03" w:rsidRPr="00D33D03" w:rsidRDefault="00D33D03" w:rsidP="00C4114B">
            <w:pPr>
              <w:spacing w:line="276" w:lineRule="auto"/>
              <w:jc w:val="center"/>
              <w:rPr>
                <w:rFonts w:ascii="Verdana" w:hAnsi="Verdana"/>
              </w:rPr>
            </w:pPr>
          </w:p>
        </w:tc>
        <w:tc>
          <w:tcPr>
            <w:tcW w:w="1276" w:type="dxa"/>
          </w:tcPr>
          <w:p w14:paraId="5DF50ADE" w14:textId="31B8B518" w:rsidR="00D33D03" w:rsidRPr="00D33D03" w:rsidRDefault="00D33D03" w:rsidP="00C4114B">
            <w:pPr>
              <w:jc w:val="center"/>
              <w:rPr>
                <w:rFonts w:ascii="Verdana" w:hAnsi="Verdana"/>
              </w:rPr>
            </w:pPr>
            <w:r w:rsidRPr="00D33D03">
              <w:rPr>
                <w:rFonts w:ascii="Verdana" w:hAnsi="Verdana"/>
              </w:rPr>
              <w:t>375</w:t>
            </w:r>
          </w:p>
        </w:tc>
        <w:tc>
          <w:tcPr>
            <w:tcW w:w="1134" w:type="dxa"/>
          </w:tcPr>
          <w:p w14:paraId="6F427968" w14:textId="1E312214" w:rsidR="00D33D03" w:rsidRPr="00D33D03" w:rsidRDefault="00D33D03" w:rsidP="00C4114B">
            <w:pPr>
              <w:spacing w:line="276" w:lineRule="auto"/>
              <w:jc w:val="center"/>
              <w:rPr>
                <w:rFonts w:ascii="Verdana" w:hAnsi="Verdana"/>
              </w:rPr>
            </w:pPr>
          </w:p>
        </w:tc>
        <w:tc>
          <w:tcPr>
            <w:tcW w:w="1134" w:type="dxa"/>
          </w:tcPr>
          <w:p w14:paraId="402669F0" w14:textId="52363790" w:rsidR="00D33D03" w:rsidRPr="00D33D03" w:rsidRDefault="00D33D03" w:rsidP="00C4114B">
            <w:pPr>
              <w:jc w:val="center"/>
              <w:rPr>
                <w:rFonts w:ascii="Verdana" w:hAnsi="Verdana"/>
              </w:rPr>
            </w:pPr>
            <w:r w:rsidRPr="00D33D03">
              <w:rPr>
                <w:rFonts w:ascii="Verdana" w:hAnsi="Verdana"/>
              </w:rPr>
              <w:t>89</w:t>
            </w:r>
          </w:p>
        </w:tc>
        <w:tc>
          <w:tcPr>
            <w:tcW w:w="1134" w:type="dxa"/>
          </w:tcPr>
          <w:p w14:paraId="66695AA1" w14:textId="5C6E25AD" w:rsidR="00D33D03" w:rsidRPr="00D33D03" w:rsidRDefault="00D33D03" w:rsidP="00C4114B">
            <w:pPr>
              <w:jc w:val="center"/>
              <w:rPr>
                <w:rFonts w:ascii="Verdana" w:hAnsi="Verdana"/>
              </w:rPr>
            </w:pPr>
            <w:r>
              <w:rPr>
                <w:rFonts w:ascii="Verdana" w:hAnsi="Verdana"/>
              </w:rPr>
              <w:t>464</w:t>
            </w:r>
          </w:p>
        </w:tc>
      </w:tr>
      <w:bookmarkEnd w:id="4"/>
    </w:tbl>
    <w:p w14:paraId="4ABC6920" w14:textId="77777777" w:rsidR="00447270" w:rsidRDefault="00447270" w:rsidP="00447270">
      <w:pPr>
        <w:spacing w:after="0"/>
        <w:rPr>
          <w:rFonts w:ascii="Verdana" w:hAnsi="Verdana"/>
        </w:rPr>
      </w:pPr>
    </w:p>
    <w:p w14:paraId="10865702" w14:textId="01FC92DB" w:rsidR="00D33D03" w:rsidRDefault="00447270" w:rsidP="00D33D03">
      <w:pPr>
        <w:rPr>
          <w:rFonts w:ascii="Verdana" w:hAnsi="Verdana"/>
        </w:rPr>
      </w:pPr>
      <w:proofErr w:type="gramStart"/>
      <w:r>
        <w:rPr>
          <w:rFonts w:ascii="Verdana" w:hAnsi="Verdana"/>
        </w:rPr>
        <w:t>The majority of</w:t>
      </w:r>
      <w:proofErr w:type="gramEnd"/>
      <w:r>
        <w:rPr>
          <w:rFonts w:ascii="Verdana" w:hAnsi="Verdana"/>
        </w:rPr>
        <w:t xml:space="preserve"> </w:t>
      </w:r>
      <w:r w:rsidR="008226DC">
        <w:rPr>
          <w:rFonts w:ascii="Verdana" w:hAnsi="Verdana"/>
        </w:rPr>
        <w:t>male and female employees do not move between the quartile</w:t>
      </w:r>
      <w:r w:rsidR="00273035">
        <w:rPr>
          <w:rFonts w:ascii="Verdana" w:hAnsi="Verdana"/>
        </w:rPr>
        <w:t xml:space="preserve"> pay band</w:t>
      </w:r>
      <w:r w:rsidR="008226DC">
        <w:rPr>
          <w:rFonts w:ascii="Verdana" w:hAnsi="Verdana"/>
        </w:rPr>
        <w:t>s. For 2022, 54 per cent of males and 70 per cent of females remailed in the same quartiles when compared to 2021.</w:t>
      </w:r>
      <w:r w:rsidR="00E44432">
        <w:rPr>
          <w:rFonts w:ascii="Verdana" w:hAnsi="Verdana"/>
        </w:rPr>
        <w:t xml:space="preserve"> </w:t>
      </w:r>
      <w:r w:rsidR="00D33D03">
        <w:rPr>
          <w:rFonts w:ascii="Verdana" w:hAnsi="Verdana"/>
        </w:rPr>
        <w:t>Much of the movement is between one quartile, and is largely due to</w:t>
      </w:r>
      <w:r w:rsidR="00D33D03" w:rsidRPr="000B05E7">
        <w:rPr>
          <w:rFonts w:ascii="Verdana" w:hAnsi="Verdana"/>
        </w:rPr>
        <w:t xml:space="preserve"> temporary promotions and reversions,</w:t>
      </w:r>
      <w:r w:rsidR="00D33D03">
        <w:rPr>
          <w:rFonts w:ascii="Verdana" w:hAnsi="Verdana"/>
        </w:rPr>
        <w:t xml:space="preserve"> </w:t>
      </w:r>
      <w:r w:rsidR="00D33D03" w:rsidRPr="000B05E7">
        <w:rPr>
          <w:rFonts w:ascii="Verdana" w:hAnsi="Verdana"/>
        </w:rPr>
        <w:t xml:space="preserve">however </w:t>
      </w:r>
      <w:r w:rsidR="00D33D03">
        <w:rPr>
          <w:rFonts w:ascii="Verdana" w:hAnsi="Verdana"/>
        </w:rPr>
        <w:t xml:space="preserve">the change in quartiles </w:t>
      </w:r>
      <w:r w:rsidR="00D33D03" w:rsidRPr="000B05E7">
        <w:rPr>
          <w:rFonts w:ascii="Verdana" w:hAnsi="Verdana"/>
        </w:rPr>
        <w:t xml:space="preserve">will also be </w:t>
      </w:r>
      <w:r w:rsidR="00273035">
        <w:rPr>
          <w:rFonts w:ascii="Verdana" w:hAnsi="Verdana"/>
        </w:rPr>
        <w:t xml:space="preserve">influenced by </w:t>
      </w:r>
      <w:r w:rsidR="00D33D03" w:rsidRPr="000B05E7">
        <w:rPr>
          <w:rFonts w:ascii="Verdana" w:hAnsi="Verdana"/>
        </w:rPr>
        <w:t xml:space="preserve">the increased earning capacity through additional work, such as </w:t>
      </w:r>
      <w:r w:rsidR="00273035">
        <w:rPr>
          <w:rFonts w:ascii="Verdana" w:hAnsi="Verdana"/>
        </w:rPr>
        <w:t xml:space="preserve">working the </w:t>
      </w:r>
      <w:r w:rsidR="00D33D03" w:rsidRPr="000B05E7">
        <w:rPr>
          <w:rFonts w:ascii="Verdana" w:hAnsi="Verdana"/>
        </w:rPr>
        <w:t>bank s</w:t>
      </w:r>
      <w:r w:rsidR="00273035">
        <w:rPr>
          <w:rFonts w:ascii="Verdana" w:hAnsi="Verdana"/>
        </w:rPr>
        <w:t>y</w:t>
      </w:r>
      <w:r w:rsidR="00D33D03" w:rsidRPr="000B05E7">
        <w:rPr>
          <w:rFonts w:ascii="Verdana" w:hAnsi="Verdana"/>
        </w:rPr>
        <w:t>s</w:t>
      </w:r>
      <w:r w:rsidR="00273035">
        <w:rPr>
          <w:rFonts w:ascii="Verdana" w:hAnsi="Verdana"/>
        </w:rPr>
        <w:t>tem</w:t>
      </w:r>
      <w:r w:rsidR="00D33D03" w:rsidRPr="000B05E7">
        <w:rPr>
          <w:rFonts w:ascii="Verdana" w:hAnsi="Verdana"/>
        </w:rPr>
        <w:t>.</w:t>
      </w:r>
    </w:p>
    <w:p w14:paraId="436C63B1" w14:textId="77777777" w:rsidR="00D33D03" w:rsidRDefault="00D33D03" w:rsidP="00A52223">
      <w:pPr>
        <w:rPr>
          <w:rFonts w:ascii="Verdana" w:hAnsi="Verdana"/>
        </w:rPr>
      </w:pPr>
    </w:p>
    <w:p w14:paraId="21EADC19" w14:textId="77777777" w:rsidR="00D33D03" w:rsidRDefault="00D33D03" w:rsidP="00A52223">
      <w:pPr>
        <w:rPr>
          <w:rFonts w:ascii="Verdana" w:hAnsi="Verdana"/>
        </w:rPr>
      </w:pPr>
    </w:p>
    <w:p w14:paraId="0E32FF16" w14:textId="77777777" w:rsidR="00D33D03" w:rsidRDefault="00D33D03" w:rsidP="00A52223">
      <w:pPr>
        <w:rPr>
          <w:rFonts w:ascii="Verdana" w:hAnsi="Verdana"/>
        </w:rPr>
      </w:pPr>
    </w:p>
    <w:p w14:paraId="5CF328D1" w14:textId="77777777" w:rsidR="00D33D03" w:rsidRDefault="00D33D03" w:rsidP="00A52223">
      <w:pPr>
        <w:rPr>
          <w:rFonts w:ascii="Verdana" w:hAnsi="Verdana"/>
        </w:rPr>
      </w:pPr>
    </w:p>
    <w:p w14:paraId="61A26582" w14:textId="77777777" w:rsidR="00D33D03" w:rsidRDefault="00D33D03" w:rsidP="00A52223">
      <w:pPr>
        <w:rPr>
          <w:rFonts w:ascii="Verdana" w:hAnsi="Verdana"/>
        </w:rPr>
      </w:pPr>
    </w:p>
    <w:p w14:paraId="4B3706E8" w14:textId="2E1D223D" w:rsidR="004F517D" w:rsidRDefault="004F517D" w:rsidP="00A52223">
      <w:pPr>
        <w:rPr>
          <w:rFonts w:ascii="Verdana" w:hAnsi="Verdana"/>
        </w:rPr>
      </w:pPr>
      <w:r>
        <w:rPr>
          <w:rFonts w:ascii="Verdana" w:hAnsi="Verdana"/>
        </w:rPr>
        <w:lastRenderedPageBreak/>
        <w:t>For 2022</w:t>
      </w:r>
    </w:p>
    <w:tbl>
      <w:tblPr>
        <w:tblStyle w:val="TableGrid"/>
        <w:tblW w:w="9067" w:type="dxa"/>
        <w:tblLook w:val="04A0" w:firstRow="1" w:lastRow="0" w:firstColumn="1" w:lastColumn="0" w:noHBand="0" w:noVBand="1"/>
      </w:tblPr>
      <w:tblGrid>
        <w:gridCol w:w="1624"/>
        <w:gridCol w:w="818"/>
        <w:gridCol w:w="1095"/>
        <w:gridCol w:w="1092"/>
        <w:gridCol w:w="1102"/>
        <w:gridCol w:w="1095"/>
        <w:gridCol w:w="1092"/>
        <w:gridCol w:w="1149"/>
      </w:tblGrid>
      <w:tr w:rsidR="004F517D" w14:paraId="57CD34B8" w14:textId="77777777" w:rsidTr="004F517D">
        <w:tc>
          <w:tcPr>
            <w:tcW w:w="1624" w:type="dxa"/>
            <w:shd w:val="clear" w:color="auto" w:fill="D9D9D9" w:themeFill="background1" w:themeFillShade="D9"/>
          </w:tcPr>
          <w:p w14:paraId="01FB6D41" w14:textId="77777777" w:rsidR="004F517D" w:rsidRPr="00507F4B" w:rsidRDefault="004F517D" w:rsidP="00E23ED8">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Quartile</w:t>
            </w:r>
          </w:p>
        </w:tc>
        <w:tc>
          <w:tcPr>
            <w:tcW w:w="818" w:type="dxa"/>
            <w:shd w:val="clear" w:color="auto" w:fill="D9D9D9" w:themeFill="background1" w:themeFillShade="D9"/>
          </w:tcPr>
          <w:p w14:paraId="259AF88F" w14:textId="77777777" w:rsidR="004F517D" w:rsidRPr="00507F4B" w:rsidRDefault="004F517D" w:rsidP="00E23ED8">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Male </w:t>
            </w:r>
          </w:p>
        </w:tc>
        <w:tc>
          <w:tcPr>
            <w:tcW w:w="1095" w:type="dxa"/>
            <w:shd w:val="clear" w:color="auto" w:fill="D9D9D9" w:themeFill="background1" w:themeFillShade="D9"/>
          </w:tcPr>
          <w:p w14:paraId="453E444B" w14:textId="77777777" w:rsidR="004F517D" w:rsidRPr="00507F4B" w:rsidRDefault="004F517D" w:rsidP="00E23ED8">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 gender </w:t>
            </w:r>
          </w:p>
        </w:tc>
        <w:tc>
          <w:tcPr>
            <w:tcW w:w="1092" w:type="dxa"/>
            <w:shd w:val="clear" w:color="auto" w:fill="D9D9D9" w:themeFill="background1" w:themeFillShade="D9"/>
          </w:tcPr>
          <w:p w14:paraId="00CEC086" w14:textId="77777777" w:rsidR="004F517D" w:rsidRDefault="004F517D" w:rsidP="00E23ED8">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 quartile</w:t>
            </w:r>
          </w:p>
        </w:tc>
        <w:tc>
          <w:tcPr>
            <w:tcW w:w="1102" w:type="dxa"/>
            <w:shd w:val="clear" w:color="auto" w:fill="D9D9D9" w:themeFill="background1" w:themeFillShade="D9"/>
          </w:tcPr>
          <w:p w14:paraId="16BC8EE7" w14:textId="77777777" w:rsidR="004F517D" w:rsidRPr="00507F4B" w:rsidRDefault="004F517D" w:rsidP="00E23ED8">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Female</w:t>
            </w:r>
          </w:p>
        </w:tc>
        <w:tc>
          <w:tcPr>
            <w:tcW w:w="1095" w:type="dxa"/>
            <w:shd w:val="clear" w:color="auto" w:fill="D9D9D9" w:themeFill="background1" w:themeFillShade="D9"/>
          </w:tcPr>
          <w:p w14:paraId="5AC2EC90" w14:textId="77777777" w:rsidR="004F517D" w:rsidRPr="00507F4B" w:rsidRDefault="004F517D" w:rsidP="00E23ED8">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 gender</w:t>
            </w:r>
          </w:p>
        </w:tc>
        <w:tc>
          <w:tcPr>
            <w:tcW w:w="1092" w:type="dxa"/>
            <w:shd w:val="clear" w:color="auto" w:fill="D9D9D9" w:themeFill="background1" w:themeFillShade="D9"/>
          </w:tcPr>
          <w:p w14:paraId="02FA41F2" w14:textId="77777777" w:rsidR="004F517D" w:rsidRDefault="004F517D" w:rsidP="00E23ED8">
            <w:pPr>
              <w:widowControl w:val="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 quartile</w:t>
            </w:r>
          </w:p>
        </w:tc>
        <w:tc>
          <w:tcPr>
            <w:tcW w:w="1149" w:type="dxa"/>
            <w:shd w:val="clear" w:color="auto" w:fill="D9D9D9" w:themeFill="background1" w:themeFillShade="D9"/>
          </w:tcPr>
          <w:p w14:paraId="55C092D1" w14:textId="77777777" w:rsidR="004F517D" w:rsidRPr="00507F4B" w:rsidRDefault="004F517D" w:rsidP="00E23ED8">
            <w:pPr>
              <w:widowControl w:val="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Total quartile</w:t>
            </w:r>
          </w:p>
        </w:tc>
      </w:tr>
      <w:tr w:rsidR="00117378" w14:paraId="77365233" w14:textId="77777777" w:rsidTr="004F517D">
        <w:tc>
          <w:tcPr>
            <w:tcW w:w="1624" w:type="dxa"/>
          </w:tcPr>
          <w:p w14:paraId="766C4AAF" w14:textId="77777777" w:rsidR="00117378" w:rsidRDefault="00117378" w:rsidP="00117378">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Upper (U)</w:t>
            </w:r>
          </w:p>
        </w:tc>
        <w:tc>
          <w:tcPr>
            <w:tcW w:w="818" w:type="dxa"/>
          </w:tcPr>
          <w:p w14:paraId="337A2598" w14:textId="06207288" w:rsidR="00117378" w:rsidRPr="004A3080" w:rsidRDefault="00117378" w:rsidP="00117378">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100</w:t>
            </w:r>
          </w:p>
        </w:tc>
        <w:tc>
          <w:tcPr>
            <w:tcW w:w="1095" w:type="dxa"/>
          </w:tcPr>
          <w:p w14:paraId="7001022C" w14:textId="6D7E5AE0" w:rsidR="00117378" w:rsidRPr="004A3080" w:rsidRDefault="00117378" w:rsidP="00117378">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26.7</w:t>
            </w:r>
          </w:p>
        </w:tc>
        <w:tc>
          <w:tcPr>
            <w:tcW w:w="1092" w:type="dxa"/>
          </w:tcPr>
          <w:p w14:paraId="71BD3689" w14:textId="0B133CD0" w:rsidR="00117378" w:rsidRPr="00117378" w:rsidRDefault="00117378" w:rsidP="00117378">
            <w:pPr>
              <w:widowControl w:val="0"/>
              <w:spacing w:after="120"/>
              <w:jc w:val="center"/>
              <w:rPr>
                <w:rFonts w:ascii="Verdana" w:eastAsia="Times New Roman" w:hAnsi="Verdana" w:cs="Calibri"/>
                <w:color w:val="000000"/>
                <w:kern w:val="28"/>
                <w:lang w:eastAsia="en-GB"/>
                <w14:cntxtAlts/>
              </w:rPr>
            </w:pPr>
            <w:r w:rsidRPr="00117378">
              <w:rPr>
                <w:rFonts w:ascii="Verdana" w:hAnsi="Verdana"/>
              </w:rPr>
              <w:t>86.2</w:t>
            </w:r>
          </w:p>
        </w:tc>
        <w:tc>
          <w:tcPr>
            <w:tcW w:w="1102" w:type="dxa"/>
          </w:tcPr>
          <w:p w14:paraId="02E21CFC" w14:textId="774EFC0F" w:rsidR="00117378" w:rsidRPr="004A3080" w:rsidRDefault="00117378" w:rsidP="00117378">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16</w:t>
            </w:r>
          </w:p>
        </w:tc>
        <w:tc>
          <w:tcPr>
            <w:tcW w:w="1095" w:type="dxa"/>
          </w:tcPr>
          <w:p w14:paraId="377EA2B9" w14:textId="2B8FC9F3" w:rsidR="00117378" w:rsidRPr="00117378" w:rsidRDefault="00117378" w:rsidP="00117378">
            <w:pPr>
              <w:widowControl w:val="0"/>
              <w:spacing w:after="120"/>
              <w:jc w:val="center"/>
              <w:rPr>
                <w:rFonts w:ascii="Verdana" w:eastAsia="Times New Roman" w:hAnsi="Verdana" w:cs="Calibri"/>
                <w:color w:val="000000"/>
                <w:kern w:val="28"/>
                <w:lang w:eastAsia="en-GB"/>
                <w14:cntxtAlts/>
              </w:rPr>
            </w:pPr>
            <w:r w:rsidRPr="00117378">
              <w:rPr>
                <w:rFonts w:ascii="Verdana" w:hAnsi="Verdana"/>
              </w:rPr>
              <w:t>18.0</w:t>
            </w:r>
          </w:p>
        </w:tc>
        <w:tc>
          <w:tcPr>
            <w:tcW w:w="1092" w:type="dxa"/>
          </w:tcPr>
          <w:p w14:paraId="10356F60" w14:textId="4BF35AC5" w:rsidR="00117378" w:rsidRPr="00117378" w:rsidRDefault="00117378" w:rsidP="00117378">
            <w:pPr>
              <w:widowControl w:val="0"/>
              <w:spacing w:after="120"/>
              <w:jc w:val="center"/>
              <w:rPr>
                <w:rFonts w:ascii="Verdana" w:eastAsia="Times New Roman" w:hAnsi="Verdana" w:cs="Calibri"/>
                <w:color w:val="000000"/>
                <w:kern w:val="28"/>
                <w:lang w:eastAsia="en-GB"/>
                <w14:cntxtAlts/>
              </w:rPr>
            </w:pPr>
            <w:r w:rsidRPr="00117378">
              <w:rPr>
                <w:rFonts w:ascii="Verdana" w:hAnsi="Verdana"/>
              </w:rPr>
              <w:t>13.8</w:t>
            </w:r>
          </w:p>
        </w:tc>
        <w:tc>
          <w:tcPr>
            <w:tcW w:w="1149" w:type="dxa"/>
          </w:tcPr>
          <w:p w14:paraId="6CFE6A06" w14:textId="4B59EE7D" w:rsidR="00117378" w:rsidRPr="00117378" w:rsidRDefault="00117378" w:rsidP="00117378">
            <w:pPr>
              <w:widowControl w:val="0"/>
              <w:spacing w:after="120"/>
              <w:jc w:val="center"/>
              <w:rPr>
                <w:rFonts w:ascii="Verdana" w:eastAsia="Times New Roman" w:hAnsi="Verdana" w:cs="Calibri"/>
                <w:color w:val="000000"/>
                <w:kern w:val="28"/>
                <w:lang w:eastAsia="en-GB"/>
                <w14:cntxtAlts/>
              </w:rPr>
            </w:pPr>
            <w:r w:rsidRPr="00117378">
              <w:rPr>
                <w:rFonts w:ascii="Verdana" w:hAnsi="Verdana"/>
              </w:rPr>
              <w:t>116</w:t>
            </w:r>
          </w:p>
        </w:tc>
      </w:tr>
      <w:tr w:rsidR="00117378" w14:paraId="31BC62AF" w14:textId="77777777" w:rsidTr="004F517D">
        <w:tc>
          <w:tcPr>
            <w:tcW w:w="1624" w:type="dxa"/>
          </w:tcPr>
          <w:p w14:paraId="79FC6FA0" w14:textId="77777777" w:rsidR="00117378" w:rsidRDefault="00117378" w:rsidP="00117378">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Upper Middle (UM)</w:t>
            </w:r>
          </w:p>
        </w:tc>
        <w:tc>
          <w:tcPr>
            <w:tcW w:w="818" w:type="dxa"/>
          </w:tcPr>
          <w:p w14:paraId="64534C20" w14:textId="3166CEEC" w:rsidR="00117378" w:rsidRPr="004A3080" w:rsidRDefault="00117378" w:rsidP="00117378">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98</w:t>
            </w:r>
          </w:p>
        </w:tc>
        <w:tc>
          <w:tcPr>
            <w:tcW w:w="1095" w:type="dxa"/>
          </w:tcPr>
          <w:p w14:paraId="6A9C6354" w14:textId="23712BAD" w:rsidR="00117378" w:rsidRPr="004A3080" w:rsidRDefault="00117378" w:rsidP="00117378">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26.1</w:t>
            </w:r>
          </w:p>
        </w:tc>
        <w:tc>
          <w:tcPr>
            <w:tcW w:w="1092" w:type="dxa"/>
          </w:tcPr>
          <w:p w14:paraId="0C9B8973" w14:textId="7C10A7D0" w:rsidR="00117378" w:rsidRPr="00117378" w:rsidRDefault="00117378" w:rsidP="00117378">
            <w:pPr>
              <w:widowControl w:val="0"/>
              <w:spacing w:after="120"/>
              <w:jc w:val="center"/>
              <w:rPr>
                <w:rFonts w:ascii="Verdana" w:eastAsia="Times New Roman" w:hAnsi="Verdana" w:cs="Calibri"/>
                <w:color w:val="000000"/>
                <w:kern w:val="28"/>
                <w:lang w:eastAsia="en-GB"/>
                <w14:cntxtAlts/>
              </w:rPr>
            </w:pPr>
            <w:r w:rsidRPr="00117378">
              <w:rPr>
                <w:rFonts w:ascii="Verdana" w:hAnsi="Verdana"/>
              </w:rPr>
              <w:t>84.5</w:t>
            </w:r>
          </w:p>
        </w:tc>
        <w:tc>
          <w:tcPr>
            <w:tcW w:w="1102" w:type="dxa"/>
          </w:tcPr>
          <w:p w14:paraId="45F4C4E3" w14:textId="349AF185" w:rsidR="00117378" w:rsidRPr="004A3080" w:rsidRDefault="00117378" w:rsidP="00117378">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18</w:t>
            </w:r>
          </w:p>
        </w:tc>
        <w:tc>
          <w:tcPr>
            <w:tcW w:w="1095" w:type="dxa"/>
          </w:tcPr>
          <w:p w14:paraId="5A321693" w14:textId="464334E3" w:rsidR="00117378" w:rsidRPr="00117378" w:rsidRDefault="00117378" w:rsidP="00117378">
            <w:pPr>
              <w:widowControl w:val="0"/>
              <w:spacing w:after="120"/>
              <w:jc w:val="center"/>
              <w:rPr>
                <w:rFonts w:ascii="Verdana" w:eastAsia="Times New Roman" w:hAnsi="Verdana" w:cs="Calibri"/>
                <w:color w:val="000000"/>
                <w:kern w:val="28"/>
                <w:lang w:eastAsia="en-GB"/>
                <w14:cntxtAlts/>
              </w:rPr>
            </w:pPr>
            <w:r w:rsidRPr="00117378">
              <w:rPr>
                <w:rFonts w:ascii="Verdana" w:hAnsi="Verdana"/>
              </w:rPr>
              <w:t>20.2</w:t>
            </w:r>
          </w:p>
        </w:tc>
        <w:tc>
          <w:tcPr>
            <w:tcW w:w="1092" w:type="dxa"/>
          </w:tcPr>
          <w:p w14:paraId="4E98E4A3" w14:textId="47E2340B" w:rsidR="00117378" w:rsidRPr="00117378" w:rsidRDefault="00117378" w:rsidP="00117378">
            <w:pPr>
              <w:widowControl w:val="0"/>
              <w:spacing w:after="120"/>
              <w:jc w:val="center"/>
              <w:rPr>
                <w:rFonts w:ascii="Verdana" w:eastAsia="Times New Roman" w:hAnsi="Verdana" w:cs="Calibri"/>
                <w:color w:val="000000"/>
                <w:kern w:val="28"/>
                <w:lang w:eastAsia="en-GB"/>
                <w14:cntxtAlts/>
              </w:rPr>
            </w:pPr>
            <w:r w:rsidRPr="00117378">
              <w:rPr>
                <w:rFonts w:ascii="Verdana" w:hAnsi="Verdana"/>
              </w:rPr>
              <w:t>15.5</w:t>
            </w:r>
          </w:p>
        </w:tc>
        <w:tc>
          <w:tcPr>
            <w:tcW w:w="1149" w:type="dxa"/>
          </w:tcPr>
          <w:p w14:paraId="5A8815E2" w14:textId="3F1BE0F8" w:rsidR="00117378" w:rsidRPr="00117378" w:rsidRDefault="00117378" w:rsidP="00117378">
            <w:pPr>
              <w:widowControl w:val="0"/>
              <w:spacing w:after="120"/>
              <w:jc w:val="center"/>
              <w:rPr>
                <w:rFonts w:ascii="Verdana" w:eastAsia="Times New Roman" w:hAnsi="Verdana" w:cs="Calibri"/>
                <w:color w:val="000000"/>
                <w:kern w:val="28"/>
                <w:lang w:eastAsia="en-GB"/>
                <w14:cntxtAlts/>
              </w:rPr>
            </w:pPr>
            <w:r w:rsidRPr="00117378">
              <w:rPr>
                <w:rFonts w:ascii="Verdana" w:hAnsi="Verdana"/>
              </w:rPr>
              <w:t>116</w:t>
            </w:r>
          </w:p>
        </w:tc>
      </w:tr>
      <w:tr w:rsidR="00117378" w14:paraId="27BE679D" w14:textId="77777777" w:rsidTr="004F517D">
        <w:tc>
          <w:tcPr>
            <w:tcW w:w="1624" w:type="dxa"/>
          </w:tcPr>
          <w:p w14:paraId="2322966A" w14:textId="77777777" w:rsidR="00117378" w:rsidRDefault="00117378" w:rsidP="00117378">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Lower Middle (LM)</w:t>
            </w:r>
          </w:p>
        </w:tc>
        <w:tc>
          <w:tcPr>
            <w:tcW w:w="818" w:type="dxa"/>
          </w:tcPr>
          <w:p w14:paraId="00F114E3" w14:textId="0190E0C4" w:rsidR="00117378" w:rsidRPr="004A3080" w:rsidRDefault="00117378" w:rsidP="00117378">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93</w:t>
            </w:r>
          </w:p>
        </w:tc>
        <w:tc>
          <w:tcPr>
            <w:tcW w:w="1095" w:type="dxa"/>
          </w:tcPr>
          <w:p w14:paraId="3BBAFAAB" w14:textId="47A55FB1" w:rsidR="00117378" w:rsidRPr="004A3080" w:rsidRDefault="00117378" w:rsidP="00117378">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24.8</w:t>
            </w:r>
          </w:p>
        </w:tc>
        <w:tc>
          <w:tcPr>
            <w:tcW w:w="1092" w:type="dxa"/>
          </w:tcPr>
          <w:p w14:paraId="0F2F406D" w14:textId="2602D5DE" w:rsidR="00117378" w:rsidRPr="00117378" w:rsidRDefault="00117378" w:rsidP="00117378">
            <w:pPr>
              <w:widowControl w:val="0"/>
              <w:spacing w:after="120"/>
              <w:jc w:val="center"/>
              <w:rPr>
                <w:rFonts w:ascii="Verdana" w:eastAsia="Times New Roman" w:hAnsi="Verdana" w:cs="Calibri"/>
                <w:color w:val="000000"/>
                <w:kern w:val="28"/>
                <w:lang w:eastAsia="en-GB"/>
                <w14:cntxtAlts/>
              </w:rPr>
            </w:pPr>
            <w:r w:rsidRPr="00117378">
              <w:rPr>
                <w:rFonts w:ascii="Verdana" w:hAnsi="Verdana"/>
              </w:rPr>
              <w:t>80.2</w:t>
            </w:r>
          </w:p>
        </w:tc>
        <w:tc>
          <w:tcPr>
            <w:tcW w:w="1102" w:type="dxa"/>
          </w:tcPr>
          <w:p w14:paraId="22C74D6C" w14:textId="5522C6FC" w:rsidR="00117378" w:rsidRPr="004A3080" w:rsidRDefault="00117378" w:rsidP="00117378">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23</w:t>
            </w:r>
          </w:p>
        </w:tc>
        <w:tc>
          <w:tcPr>
            <w:tcW w:w="1095" w:type="dxa"/>
          </w:tcPr>
          <w:p w14:paraId="52F1E813" w14:textId="1B50B87E" w:rsidR="00117378" w:rsidRPr="00117378" w:rsidRDefault="00117378" w:rsidP="00117378">
            <w:pPr>
              <w:widowControl w:val="0"/>
              <w:spacing w:after="120"/>
              <w:jc w:val="center"/>
              <w:rPr>
                <w:rFonts w:ascii="Verdana" w:eastAsia="Times New Roman" w:hAnsi="Verdana" w:cs="Calibri"/>
                <w:color w:val="000000"/>
                <w:kern w:val="28"/>
                <w:lang w:eastAsia="en-GB"/>
                <w14:cntxtAlts/>
              </w:rPr>
            </w:pPr>
            <w:r w:rsidRPr="00117378">
              <w:rPr>
                <w:rFonts w:ascii="Verdana" w:hAnsi="Verdana"/>
              </w:rPr>
              <w:t>25.8</w:t>
            </w:r>
          </w:p>
        </w:tc>
        <w:tc>
          <w:tcPr>
            <w:tcW w:w="1092" w:type="dxa"/>
          </w:tcPr>
          <w:p w14:paraId="2560F174" w14:textId="14CAEC91" w:rsidR="00117378" w:rsidRPr="00117378" w:rsidRDefault="00117378" w:rsidP="00117378">
            <w:pPr>
              <w:widowControl w:val="0"/>
              <w:spacing w:after="120"/>
              <w:jc w:val="center"/>
              <w:rPr>
                <w:rFonts w:ascii="Verdana" w:eastAsia="Times New Roman" w:hAnsi="Verdana" w:cs="Calibri"/>
                <w:color w:val="000000"/>
                <w:kern w:val="28"/>
                <w:lang w:eastAsia="en-GB"/>
                <w14:cntxtAlts/>
              </w:rPr>
            </w:pPr>
            <w:r w:rsidRPr="00117378">
              <w:rPr>
                <w:rFonts w:ascii="Verdana" w:hAnsi="Verdana"/>
              </w:rPr>
              <w:t>19.8</w:t>
            </w:r>
          </w:p>
        </w:tc>
        <w:tc>
          <w:tcPr>
            <w:tcW w:w="1149" w:type="dxa"/>
          </w:tcPr>
          <w:p w14:paraId="131BACBC" w14:textId="157993B1" w:rsidR="00117378" w:rsidRPr="00117378" w:rsidRDefault="00117378" w:rsidP="00117378">
            <w:pPr>
              <w:widowControl w:val="0"/>
              <w:spacing w:after="120"/>
              <w:jc w:val="center"/>
              <w:rPr>
                <w:rFonts w:ascii="Verdana" w:eastAsia="Times New Roman" w:hAnsi="Verdana" w:cs="Calibri"/>
                <w:color w:val="000000"/>
                <w:kern w:val="28"/>
                <w:lang w:eastAsia="en-GB"/>
                <w14:cntxtAlts/>
              </w:rPr>
            </w:pPr>
            <w:r w:rsidRPr="00117378">
              <w:rPr>
                <w:rFonts w:ascii="Verdana" w:hAnsi="Verdana"/>
              </w:rPr>
              <w:t>116</w:t>
            </w:r>
          </w:p>
        </w:tc>
      </w:tr>
      <w:tr w:rsidR="00117378" w14:paraId="2B0578C0" w14:textId="77777777" w:rsidTr="004F517D">
        <w:tc>
          <w:tcPr>
            <w:tcW w:w="1624" w:type="dxa"/>
          </w:tcPr>
          <w:p w14:paraId="4E99B82B" w14:textId="77777777" w:rsidR="00117378" w:rsidRDefault="00117378" w:rsidP="00117378">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Lower (L)</w:t>
            </w:r>
          </w:p>
        </w:tc>
        <w:tc>
          <w:tcPr>
            <w:tcW w:w="818" w:type="dxa"/>
          </w:tcPr>
          <w:p w14:paraId="7A3B240E" w14:textId="06E53E47" w:rsidR="00117378" w:rsidRPr="004A3080" w:rsidRDefault="00117378" w:rsidP="00117378">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84</w:t>
            </w:r>
          </w:p>
        </w:tc>
        <w:tc>
          <w:tcPr>
            <w:tcW w:w="1095" w:type="dxa"/>
          </w:tcPr>
          <w:p w14:paraId="49E33681" w14:textId="2E54ECF5" w:rsidR="00117378" w:rsidRPr="004A3080" w:rsidRDefault="00117378" w:rsidP="00117378">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22.4</w:t>
            </w:r>
          </w:p>
        </w:tc>
        <w:tc>
          <w:tcPr>
            <w:tcW w:w="1092" w:type="dxa"/>
          </w:tcPr>
          <w:p w14:paraId="2CAED1CD" w14:textId="55D37080" w:rsidR="00117378" w:rsidRPr="00117378" w:rsidRDefault="00117378" w:rsidP="00117378">
            <w:pPr>
              <w:widowControl w:val="0"/>
              <w:spacing w:after="120"/>
              <w:jc w:val="center"/>
              <w:rPr>
                <w:rFonts w:ascii="Verdana" w:eastAsia="Times New Roman" w:hAnsi="Verdana" w:cs="Calibri"/>
                <w:color w:val="000000"/>
                <w:kern w:val="28"/>
                <w:lang w:eastAsia="en-GB"/>
                <w14:cntxtAlts/>
              </w:rPr>
            </w:pPr>
            <w:r w:rsidRPr="00117378">
              <w:rPr>
                <w:rFonts w:ascii="Verdana" w:hAnsi="Verdana"/>
              </w:rPr>
              <w:t>72.4</w:t>
            </w:r>
          </w:p>
        </w:tc>
        <w:tc>
          <w:tcPr>
            <w:tcW w:w="1102" w:type="dxa"/>
          </w:tcPr>
          <w:p w14:paraId="49B35E45" w14:textId="412AE566" w:rsidR="00117378" w:rsidRPr="004A3080" w:rsidRDefault="00117378" w:rsidP="00117378">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32</w:t>
            </w:r>
          </w:p>
        </w:tc>
        <w:tc>
          <w:tcPr>
            <w:tcW w:w="1095" w:type="dxa"/>
          </w:tcPr>
          <w:p w14:paraId="01344AC5" w14:textId="02C26CF4" w:rsidR="00117378" w:rsidRPr="00117378" w:rsidRDefault="00117378" w:rsidP="00117378">
            <w:pPr>
              <w:widowControl w:val="0"/>
              <w:spacing w:after="120"/>
              <w:jc w:val="center"/>
              <w:rPr>
                <w:rFonts w:ascii="Verdana" w:eastAsia="Times New Roman" w:hAnsi="Verdana" w:cs="Calibri"/>
                <w:color w:val="000000"/>
                <w:kern w:val="28"/>
                <w:lang w:eastAsia="en-GB"/>
                <w14:cntxtAlts/>
              </w:rPr>
            </w:pPr>
            <w:r w:rsidRPr="00117378">
              <w:rPr>
                <w:rFonts w:ascii="Verdana" w:hAnsi="Verdana"/>
              </w:rPr>
              <w:t>36.0</w:t>
            </w:r>
          </w:p>
        </w:tc>
        <w:tc>
          <w:tcPr>
            <w:tcW w:w="1092" w:type="dxa"/>
          </w:tcPr>
          <w:p w14:paraId="4E2528E7" w14:textId="77DA8270" w:rsidR="00117378" w:rsidRPr="00117378" w:rsidRDefault="00117378" w:rsidP="00117378">
            <w:pPr>
              <w:widowControl w:val="0"/>
              <w:spacing w:after="120"/>
              <w:jc w:val="center"/>
              <w:rPr>
                <w:rFonts w:ascii="Verdana" w:eastAsia="Times New Roman" w:hAnsi="Verdana" w:cs="Calibri"/>
                <w:color w:val="000000"/>
                <w:kern w:val="28"/>
                <w:lang w:eastAsia="en-GB"/>
                <w14:cntxtAlts/>
              </w:rPr>
            </w:pPr>
            <w:r w:rsidRPr="00117378">
              <w:rPr>
                <w:rFonts w:ascii="Verdana" w:hAnsi="Verdana"/>
              </w:rPr>
              <w:t>27.6</w:t>
            </w:r>
          </w:p>
        </w:tc>
        <w:tc>
          <w:tcPr>
            <w:tcW w:w="1149" w:type="dxa"/>
          </w:tcPr>
          <w:p w14:paraId="029F0EBF" w14:textId="36DF8115" w:rsidR="00117378" w:rsidRPr="00117378" w:rsidRDefault="00117378" w:rsidP="00117378">
            <w:pPr>
              <w:widowControl w:val="0"/>
              <w:spacing w:after="120"/>
              <w:jc w:val="center"/>
              <w:rPr>
                <w:rFonts w:ascii="Verdana" w:eastAsia="Times New Roman" w:hAnsi="Verdana" w:cs="Calibri"/>
                <w:color w:val="000000"/>
                <w:kern w:val="28"/>
                <w:lang w:eastAsia="en-GB"/>
                <w14:cntxtAlts/>
              </w:rPr>
            </w:pPr>
            <w:r w:rsidRPr="00117378">
              <w:rPr>
                <w:rFonts w:ascii="Verdana" w:hAnsi="Verdana"/>
              </w:rPr>
              <w:t>116</w:t>
            </w:r>
          </w:p>
        </w:tc>
      </w:tr>
      <w:tr w:rsidR="004F517D" w14:paraId="23AA62D3" w14:textId="77777777" w:rsidTr="004F517D">
        <w:tc>
          <w:tcPr>
            <w:tcW w:w="1624" w:type="dxa"/>
          </w:tcPr>
          <w:p w14:paraId="0BF61C8C" w14:textId="77777777" w:rsidR="004F517D" w:rsidRDefault="004F517D" w:rsidP="00E23ED8">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 xml:space="preserve">Total </w:t>
            </w:r>
          </w:p>
        </w:tc>
        <w:tc>
          <w:tcPr>
            <w:tcW w:w="818" w:type="dxa"/>
          </w:tcPr>
          <w:p w14:paraId="7BB1D337" w14:textId="5A05520F" w:rsidR="004F517D" w:rsidRPr="004A3080" w:rsidRDefault="004F517D" w:rsidP="00E23ED8">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375</w:t>
            </w:r>
          </w:p>
        </w:tc>
        <w:tc>
          <w:tcPr>
            <w:tcW w:w="1095" w:type="dxa"/>
          </w:tcPr>
          <w:p w14:paraId="7000D333" w14:textId="77777777" w:rsidR="004F517D" w:rsidRPr="004A3080" w:rsidRDefault="004F517D" w:rsidP="00E23ED8">
            <w:pPr>
              <w:widowControl w:val="0"/>
              <w:spacing w:after="120"/>
              <w:jc w:val="center"/>
              <w:rPr>
                <w:rFonts w:ascii="Verdana" w:eastAsia="Times New Roman" w:hAnsi="Verdana" w:cs="Calibri"/>
                <w:color w:val="000000"/>
                <w:kern w:val="28"/>
                <w:lang w:eastAsia="en-GB"/>
                <w14:cntxtAlts/>
              </w:rPr>
            </w:pPr>
            <w:r w:rsidRPr="004A3080">
              <w:rPr>
                <w:rFonts w:ascii="Verdana" w:eastAsia="Times New Roman" w:hAnsi="Verdana" w:cs="Calibri"/>
                <w:color w:val="000000"/>
                <w:kern w:val="28"/>
                <w:lang w:eastAsia="en-GB"/>
                <w14:cntxtAlts/>
              </w:rPr>
              <w:t>-</w:t>
            </w:r>
          </w:p>
        </w:tc>
        <w:tc>
          <w:tcPr>
            <w:tcW w:w="1092" w:type="dxa"/>
          </w:tcPr>
          <w:p w14:paraId="6AB32CDB" w14:textId="77777777" w:rsidR="004F517D" w:rsidRPr="004A3080" w:rsidRDefault="004F517D" w:rsidP="00E23ED8">
            <w:pPr>
              <w:widowControl w:val="0"/>
              <w:spacing w:after="120"/>
              <w:jc w:val="center"/>
              <w:rPr>
                <w:rFonts w:ascii="Verdana" w:eastAsia="Times New Roman" w:hAnsi="Verdana" w:cs="Calibri"/>
                <w:color w:val="000000"/>
                <w:kern w:val="28"/>
                <w:lang w:eastAsia="en-GB"/>
                <w14:cntxtAlts/>
              </w:rPr>
            </w:pPr>
            <w:r w:rsidRPr="004A3080">
              <w:rPr>
                <w:rFonts w:ascii="Verdana" w:eastAsia="Times New Roman" w:hAnsi="Verdana" w:cs="Calibri"/>
                <w:color w:val="000000"/>
                <w:kern w:val="28"/>
                <w:lang w:eastAsia="en-GB"/>
                <w14:cntxtAlts/>
              </w:rPr>
              <w:t>-</w:t>
            </w:r>
          </w:p>
        </w:tc>
        <w:tc>
          <w:tcPr>
            <w:tcW w:w="1102" w:type="dxa"/>
          </w:tcPr>
          <w:p w14:paraId="76CCCBF6" w14:textId="5462D0A5" w:rsidR="004F517D" w:rsidRPr="004A3080" w:rsidRDefault="004F517D" w:rsidP="00E23ED8">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89</w:t>
            </w:r>
          </w:p>
        </w:tc>
        <w:tc>
          <w:tcPr>
            <w:tcW w:w="1095" w:type="dxa"/>
          </w:tcPr>
          <w:p w14:paraId="29B9869E" w14:textId="77777777" w:rsidR="004F517D" w:rsidRPr="004A3080" w:rsidRDefault="004F517D" w:rsidP="00E23ED8">
            <w:pPr>
              <w:widowControl w:val="0"/>
              <w:spacing w:after="120"/>
              <w:jc w:val="center"/>
              <w:rPr>
                <w:rFonts w:ascii="Verdana" w:eastAsia="Times New Roman" w:hAnsi="Verdana" w:cs="Calibri"/>
                <w:color w:val="000000"/>
                <w:kern w:val="28"/>
                <w:lang w:eastAsia="en-GB"/>
                <w14:cntxtAlts/>
              </w:rPr>
            </w:pPr>
            <w:r w:rsidRPr="004A3080">
              <w:rPr>
                <w:rFonts w:ascii="Verdana" w:eastAsia="Times New Roman" w:hAnsi="Verdana" w:cs="Calibri"/>
                <w:color w:val="000000"/>
                <w:kern w:val="28"/>
                <w:lang w:eastAsia="en-GB"/>
                <w14:cntxtAlts/>
              </w:rPr>
              <w:t>-</w:t>
            </w:r>
          </w:p>
        </w:tc>
        <w:tc>
          <w:tcPr>
            <w:tcW w:w="1092" w:type="dxa"/>
          </w:tcPr>
          <w:p w14:paraId="4D6E24C1" w14:textId="77777777" w:rsidR="004F517D" w:rsidRPr="004A3080" w:rsidRDefault="004F517D" w:rsidP="00E23ED8">
            <w:pPr>
              <w:widowControl w:val="0"/>
              <w:spacing w:after="120"/>
              <w:jc w:val="center"/>
              <w:rPr>
                <w:rFonts w:ascii="Verdana" w:eastAsia="Times New Roman" w:hAnsi="Verdana" w:cs="Calibri"/>
                <w:color w:val="000000"/>
                <w:kern w:val="28"/>
                <w:lang w:eastAsia="en-GB"/>
                <w14:cntxtAlts/>
              </w:rPr>
            </w:pPr>
            <w:r w:rsidRPr="004A3080">
              <w:rPr>
                <w:rFonts w:ascii="Verdana" w:eastAsia="Times New Roman" w:hAnsi="Verdana" w:cs="Calibri"/>
                <w:color w:val="000000"/>
                <w:kern w:val="28"/>
                <w:lang w:eastAsia="en-GB"/>
                <w14:cntxtAlts/>
              </w:rPr>
              <w:t>-</w:t>
            </w:r>
          </w:p>
        </w:tc>
        <w:tc>
          <w:tcPr>
            <w:tcW w:w="1149" w:type="dxa"/>
          </w:tcPr>
          <w:p w14:paraId="1584D349" w14:textId="32687C89" w:rsidR="004F517D" w:rsidRPr="004A3080" w:rsidRDefault="00117378" w:rsidP="00E23ED8">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464</w:t>
            </w:r>
          </w:p>
        </w:tc>
      </w:tr>
    </w:tbl>
    <w:p w14:paraId="34D82E68" w14:textId="64792E63" w:rsidR="004F517D" w:rsidRDefault="004F517D" w:rsidP="00A52223">
      <w:pPr>
        <w:rPr>
          <w:rFonts w:ascii="Verdana" w:hAnsi="Verdana"/>
        </w:rPr>
      </w:pPr>
    </w:p>
    <w:p w14:paraId="27DBE01B" w14:textId="534CC3ED" w:rsidR="007B5BE5" w:rsidRDefault="007B5BE5" w:rsidP="00A52223">
      <w:pPr>
        <w:rPr>
          <w:rFonts w:ascii="Verdana" w:hAnsi="Verdana"/>
        </w:rPr>
      </w:pPr>
      <w:r>
        <w:rPr>
          <w:rFonts w:ascii="Verdana" w:hAnsi="Verdana"/>
        </w:rPr>
        <w:t>For 2021</w:t>
      </w:r>
    </w:p>
    <w:tbl>
      <w:tblPr>
        <w:tblStyle w:val="TableGrid"/>
        <w:tblW w:w="9067" w:type="dxa"/>
        <w:tblLook w:val="04A0" w:firstRow="1" w:lastRow="0" w:firstColumn="1" w:lastColumn="0" w:noHBand="0" w:noVBand="1"/>
      </w:tblPr>
      <w:tblGrid>
        <w:gridCol w:w="1624"/>
        <w:gridCol w:w="818"/>
        <w:gridCol w:w="1095"/>
        <w:gridCol w:w="1092"/>
        <w:gridCol w:w="1102"/>
        <w:gridCol w:w="1095"/>
        <w:gridCol w:w="1092"/>
        <w:gridCol w:w="1149"/>
      </w:tblGrid>
      <w:tr w:rsidR="007B5BE5" w14:paraId="5187A173" w14:textId="77777777" w:rsidTr="007E34B7">
        <w:tc>
          <w:tcPr>
            <w:tcW w:w="1838" w:type="dxa"/>
            <w:shd w:val="clear" w:color="auto" w:fill="D9D9D9" w:themeFill="background1" w:themeFillShade="D9"/>
          </w:tcPr>
          <w:p w14:paraId="2B45FC45" w14:textId="77777777" w:rsidR="007B5BE5" w:rsidRPr="00507F4B" w:rsidRDefault="007B5BE5" w:rsidP="007E34B7">
            <w:pPr>
              <w:widowControl w:val="0"/>
              <w:spacing w:after="120"/>
              <w:jc w:val="center"/>
              <w:rPr>
                <w:rFonts w:ascii="Verdana" w:eastAsia="Times New Roman" w:hAnsi="Verdana" w:cs="Calibri"/>
                <w:b/>
                <w:color w:val="000000"/>
                <w:kern w:val="28"/>
                <w:lang w:eastAsia="en-GB"/>
                <w14:cntxtAlts/>
              </w:rPr>
            </w:pPr>
            <w:bookmarkStart w:id="5" w:name="_Hlk112309387"/>
            <w:r>
              <w:rPr>
                <w:rFonts w:ascii="Verdana" w:eastAsia="Times New Roman" w:hAnsi="Verdana" w:cs="Calibri"/>
                <w:b/>
                <w:color w:val="000000"/>
                <w:kern w:val="28"/>
                <w:lang w:eastAsia="en-GB"/>
                <w14:cntxtAlts/>
              </w:rPr>
              <w:t>Quartile</w:t>
            </w:r>
          </w:p>
        </w:tc>
        <w:tc>
          <w:tcPr>
            <w:tcW w:w="851" w:type="dxa"/>
            <w:shd w:val="clear" w:color="auto" w:fill="D9D9D9" w:themeFill="background1" w:themeFillShade="D9"/>
          </w:tcPr>
          <w:p w14:paraId="36EBBEA1" w14:textId="77777777" w:rsidR="007B5BE5" w:rsidRPr="00507F4B" w:rsidRDefault="007B5BE5" w:rsidP="007E34B7">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Male </w:t>
            </w:r>
          </w:p>
        </w:tc>
        <w:tc>
          <w:tcPr>
            <w:tcW w:w="1134" w:type="dxa"/>
            <w:shd w:val="clear" w:color="auto" w:fill="D9D9D9" w:themeFill="background1" w:themeFillShade="D9"/>
          </w:tcPr>
          <w:p w14:paraId="0CFCFEFB" w14:textId="77777777" w:rsidR="007B5BE5" w:rsidRPr="00507F4B" w:rsidRDefault="007B5BE5" w:rsidP="007E34B7">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 gender </w:t>
            </w:r>
          </w:p>
        </w:tc>
        <w:tc>
          <w:tcPr>
            <w:tcW w:w="850" w:type="dxa"/>
            <w:shd w:val="clear" w:color="auto" w:fill="D9D9D9" w:themeFill="background1" w:themeFillShade="D9"/>
          </w:tcPr>
          <w:p w14:paraId="60CEAA83" w14:textId="77777777" w:rsidR="007B5BE5" w:rsidRDefault="007B5BE5" w:rsidP="007E34B7">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 quartile</w:t>
            </w:r>
          </w:p>
        </w:tc>
        <w:tc>
          <w:tcPr>
            <w:tcW w:w="1134" w:type="dxa"/>
            <w:shd w:val="clear" w:color="auto" w:fill="D9D9D9" w:themeFill="background1" w:themeFillShade="D9"/>
          </w:tcPr>
          <w:p w14:paraId="737060CB" w14:textId="77777777" w:rsidR="007B5BE5" w:rsidRPr="00507F4B" w:rsidRDefault="007B5BE5" w:rsidP="007E34B7">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Female</w:t>
            </w:r>
          </w:p>
        </w:tc>
        <w:tc>
          <w:tcPr>
            <w:tcW w:w="1134" w:type="dxa"/>
            <w:shd w:val="clear" w:color="auto" w:fill="D9D9D9" w:themeFill="background1" w:themeFillShade="D9"/>
          </w:tcPr>
          <w:p w14:paraId="393E3997" w14:textId="77777777" w:rsidR="007B5BE5" w:rsidRPr="00507F4B" w:rsidRDefault="007B5BE5" w:rsidP="007E34B7">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 gender</w:t>
            </w:r>
          </w:p>
        </w:tc>
        <w:tc>
          <w:tcPr>
            <w:tcW w:w="953" w:type="dxa"/>
            <w:shd w:val="clear" w:color="auto" w:fill="D9D9D9" w:themeFill="background1" w:themeFillShade="D9"/>
          </w:tcPr>
          <w:p w14:paraId="23343AC9" w14:textId="77777777" w:rsidR="007B5BE5" w:rsidRDefault="007B5BE5" w:rsidP="007E34B7">
            <w:pPr>
              <w:widowControl w:val="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 quartile</w:t>
            </w:r>
          </w:p>
        </w:tc>
        <w:tc>
          <w:tcPr>
            <w:tcW w:w="1173" w:type="dxa"/>
            <w:shd w:val="clear" w:color="auto" w:fill="D9D9D9" w:themeFill="background1" w:themeFillShade="D9"/>
          </w:tcPr>
          <w:p w14:paraId="25BFFE33" w14:textId="77777777" w:rsidR="007B5BE5" w:rsidRPr="00507F4B" w:rsidRDefault="007B5BE5" w:rsidP="007E34B7">
            <w:pPr>
              <w:widowControl w:val="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Total quartile</w:t>
            </w:r>
          </w:p>
        </w:tc>
      </w:tr>
      <w:tr w:rsidR="007B5BE5" w14:paraId="7870D108" w14:textId="77777777" w:rsidTr="007E34B7">
        <w:tc>
          <w:tcPr>
            <w:tcW w:w="1838" w:type="dxa"/>
          </w:tcPr>
          <w:p w14:paraId="5B499816" w14:textId="77777777" w:rsidR="007B5BE5" w:rsidRDefault="007B5BE5" w:rsidP="007E34B7">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Upper (U)</w:t>
            </w:r>
          </w:p>
        </w:tc>
        <w:tc>
          <w:tcPr>
            <w:tcW w:w="851" w:type="dxa"/>
          </w:tcPr>
          <w:p w14:paraId="315C5FA1" w14:textId="00350C0E" w:rsidR="007B5BE5" w:rsidRPr="004A3080" w:rsidRDefault="004A3080"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99</w:t>
            </w:r>
          </w:p>
        </w:tc>
        <w:tc>
          <w:tcPr>
            <w:tcW w:w="1134" w:type="dxa"/>
          </w:tcPr>
          <w:p w14:paraId="3FCD82F2" w14:textId="04CA4328" w:rsidR="007B5BE5" w:rsidRPr="004A3080" w:rsidRDefault="008976D2"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26.7</w:t>
            </w:r>
          </w:p>
        </w:tc>
        <w:tc>
          <w:tcPr>
            <w:tcW w:w="850" w:type="dxa"/>
          </w:tcPr>
          <w:p w14:paraId="4A25677D" w14:textId="512897AD" w:rsidR="007B5BE5" w:rsidRPr="004A3080" w:rsidRDefault="00DF061D"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85.3</w:t>
            </w:r>
          </w:p>
        </w:tc>
        <w:tc>
          <w:tcPr>
            <w:tcW w:w="1134" w:type="dxa"/>
          </w:tcPr>
          <w:p w14:paraId="17FFFDA1" w14:textId="2D71F46D" w:rsidR="007B5BE5" w:rsidRPr="004A3080" w:rsidRDefault="004A3080"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17</w:t>
            </w:r>
          </w:p>
        </w:tc>
        <w:tc>
          <w:tcPr>
            <w:tcW w:w="1134" w:type="dxa"/>
          </w:tcPr>
          <w:p w14:paraId="52B1CD73" w14:textId="0E5C431A" w:rsidR="007B5BE5" w:rsidRPr="004A3080" w:rsidRDefault="008976D2"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18.5</w:t>
            </w:r>
          </w:p>
        </w:tc>
        <w:tc>
          <w:tcPr>
            <w:tcW w:w="953" w:type="dxa"/>
          </w:tcPr>
          <w:p w14:paraId="0A2384F4" w14:textId="7EEF9E7F" w:rsidR="007B5BE5" w:rsidRPr="004A3080" w:rsidRDefault="00DF061D"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14.7</w:t>
            </w:r>
          </w:p>
        </w:tc>
        <w:tc>
          <w:tcPr>
            <w:tcW w:w="1173" w:type="dxa"/>
          </w:tcPr>
          <w:p w14:paraId="0FB045C2" w14:textId="39CB2123" w:rsidR="007B5BE5" w:rsidRPr="004A3080" w:rsidRDefault="004A3080"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116</w:t>
            </w:r>
          </w:p>
        </w:tc>
      </w:tr>
      <w:tr w:rsidR="007B5BE5" w14:paraId="76C34EA4" w14:textId="77777777" w:rsidTr="007E34B7">
        <w:tc>
          <w:tcPr>
            <w:tcW w:w="1838" w:type="dxa"/>
          </w:tcPr>
          <w:p w14:paraId="1B100A88" w14:textId="77777777" w:rsidR="007B5BE5" w:rsidRDefault="007B5BE5" w:rsidP="007E34B7">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Upper Middle (UM)</w:t>
            </w:r>
          </w:p>
        </w:tc>
        <w:tc>
          <w:tcPr>
            <w:tcW w:w="851" w:type="dxa"/>
          </w:tcPr>
          <w:p w14:paraId="5170C92A" w14:textId="3D72F8AA" w:rsidR="007B5BE5" w:rsidRPr="004A3080" w:rsidRDefault="004A3080"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100</w:t>
            </w:r>
          </w:p>
        </w:tc>
        <w:tc>
          <w:tcPr>
            <w:tcW w:w="1134" w:type="dxa"/>
          </w:tcPr>
          <w:p w14:paraId="6EE22E37" w14:textId="30367BEC" w:rsidR="007B5BE5" w:rsidRPr="004A3080" w:rsidRDefault="008976D2"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27.0</w:t>
            </w:r>
          </w:p>
        </w:tc>
        <w:tc>
          <w:tcPr>
            <w:tcW w:w="850" w:type="dxa"/>
          </w:tcPr>
          <w:p w14:paraId="7613EBA3" w14:textId="44B83DF9" w:rsidR="007B5BE5" w:rsidRPr="004A3080" w:rsidRDefault="00DF061D"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86.2</w:t>
            </w:r>
          </w:p>
        </w:tc>
        <w:tc>
          <w:tcPr>
            <w:tcW w:w="1134" w:type="dxa"/>
          </w:tcPr>
          <w:p w14:paraId="7543CF90" w14:textId="22CA5E55" w:rsidR="007B5BE5" w:rsidRPr="004A3080" w:rsidRDefault="004A3080"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16</w:t>
            </w:r>
          </w:p>
        </w:tc>
        <w:tc>
          <w:tcPr>
            <w:tcW w:w="1134" w:type="dxa"/>
          </w:tcPr>
          <w:p w14:paraId="457EB130" w14:textId="707E6855" w:rsidR="007B5BE5" w:rsidRPr="004A3080" w:rsidRDefault="008976D2"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17.4</w:t>
            </w:r>
          </w:p>
        </w:tc>
        <w:tc>
          <w:tcPr>
            <w:tcW w:w="953" w:type="dxa"/>
          </w:tcPr>
          <w:p w14:paraId="28604B3E" w14:textId="2C515A03" w:rsidR="007B5BE5" w:rsidRPr="004A3080" w:rsidRDefault="00DF061D"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13.8</w:t>
            </w:r>
          </w:p>
        </w:tc>
        <w:tc>
          <w:tcPr>
            <w:tcW w:w="1173" w:type="dxa"/>
          </w:tcPr>
          <w:p w14:paraId="113343F8" w14:textId="032EBB9A" w:rsidR="007B5BE5" w:rsidRPr="004A3080" w:rsidRDefault="004A3080"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116</w:t>
            </w:r>
          </w:p>
        </w:tc>
      </w:tr>
      <w:tr w:rsidR="007B5BE5" w14:paraId="1954FF42" w14:textId="77777777" w:rsidTr="007E34B7">
        <w:tc>
          <w:tcPr>
            <w:tcW w:w="1838" w:type="dxa"/>
          </w:tcPr>
          <w:p w14:paraId="3DACE9B5" w14:textId="77777777" w:rsidR="007B5BE5" w:rsidRDefault="007B5BE5" w:rsidP="007E34B7">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Lower Middle (LM)</w:t>
            </w:r>
          </w:p>
        </w:tc>
        <w:tc>
          <w:tcPr>
            <w:tcW w:w="851" w:type="dxa"/>
          </w:tcPr>
          <w:p w14:paraId="2D8E8F9C" w14:textId="504E834C" w:rsidR="007B5BE5" w:rsidRPr="004A3080" w:rsidRDefault="004A3080"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96</w:t>
            </w:r>
          </w:p>
        </w:tc>
        <w:tc>
          <w:tcPr>
            <w:tcW w:w="1134" w:type="dxa"/>
          </w:tcPr>
          <w:p w14:paraId="512818C1" w14:textId="25CB1144" w:rsidR="007B5BE5" w:rsidRPr="004A3080" w:rsidRDefault="008976D2"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25.9</w:t>
            </w:r>
          </w:p>
        </w:tc>
        <w:tc>
          <w:tcPr>
            <w:tcW w:w="850" w:type="dxa"/>
          </w:tcPr>
          <w:p w14:paraId="0A4A9017" w14:textId="3A60BA06" w:rsidR="007B5BE5" w:rsidRPr="004A3080" w:rsidRDefault="00DF061D"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82.8</w:t>
            </w:r>
          </w:p>
        </w:tc>
        <w:tc>
          <w:tcPr>
            <w:tcW w:w="1134" w:type="dxa"/>
          </w:tcPr>
          <w:p w14:paraId="69866C03" w14:textId="148CAF5F" w:rsidR="007B5BE5" w:rsidRPr="004A3080" w:rsidRDefault="004A3080"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w:t>
            </w:r>
          </w:p>
        </w:tc>
        <w:tc>
          <w:tcPr>
            <w:tcW w:w="1134" w:type="dxa"/>
          </w:tcPr>
          <w:p w14:paraId="64EAAEFE" w14:textId="1EC9EAE3" w:rsidR="007B5BE5" w:rsidRPr="004A3080" w:rsidRDefault="008976D2"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21.7</w:t>
            </w:r>
          </w:p>
        </w:tc>
        <w:tc>
          <w:tcPr>
            <w:tcW w:w="953" w:type="dxa"/>
          </w:tcPr>
          <w:p w14:paraId="1A482270" w14:textId="2247B0C7" w:rsidR="007B5BE5" w:rsidRPr="004A3080" w:rsidRDefault="00DF061D"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17.2</w:t>
            </w:r>
          </w:p>
        </w:tc>
        <w:tc>
          <w:tcPr>
            <w:tcW w:w="1173" w:type="dxa"/>
          </w:tcPr>
          <w:p w14:paraId="5C5DE632" w14:textId="2B8A62CE" w:rsidR="007B5BE5" w:rsidRPr="004A3080" w:rsidRDefault="004A3080"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116</w:t>
            </w:r>
          </w:p>
        </w:tc>
      </w:tr>
      <w:tr w:rsidR="007B5BE5" w14:paraId="3B72C78F" w14:textId="77777777" w:rsidTr="007E34B7">
        <w:tc>
          <w:tcPr>
            <w:tcW w:w="1838" w:type="dxa"/>
          </w:tcPr>
          <w:p w14:paraId="6CD13A73" w14:textId="77777777" w:rsidR="007B5BE5" w:rsidRDefault="007B5BE5" w:rsidP="007E34B7">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Lower (L)</w:t>
            </w:r>
          </w:p>
        </w:tc>
        <w:tc>
          <w:tcPr>
            <w:tcW w:w="851" w:type="dxa"/>
          </w:tcPr>
          <w:p w14:paraId="31BC45D0" w14:textId="4E5E858D" w:rsidR="007B5BE5" w:rsidRPr="004A3080" w:rsidRDefault="004A3080"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76</w:t>
            </w:r>
          </w:p>
        </w:tc>
        <w:tc>
          <w:tcPr>
            <w:tcW w:w="1134" w:type="dxa"/>
          </w:tcPr>
          <w:p w14:paraId="1ECF161B" w14:textId="5992A315" w:rsidR="007B5BE5" w:rsidRPr="004A3080" w:rsidRDefault="008976D2"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20.5</w:t>
            </w:r>
          </w:p>
        </w:tc>
        <w:tc>
          <w:tcPr>
            <w:tcW w:w="850" w:type="dxa"/>
          </w:tcPr>
          <w:p w14:paraId="098FBF9C" w14:textId="4CB22C9C" w:rsidR="007B5BE5" w:rsidRPr="004A3080" w:rsidRDefault="00DF061D"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66.1</w:t>
            </w:r>
          </w:p>
        </w:tc>
        <w:tc>
          <w:tcPr>
            <w:tcW w:w="1134" w:type="dxa"/>
          </w:tcPr>
          <w:p w14:paraId="6AB6872E" w14:textId="053D68A7" w:rsidR="007B5BE5" w:rsidRPr="004A3080" w:rsidRDefault="004A3080"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39</w:t>
            </w:r>
          </w:p>
        </w:tc>
        <w:tc>
          <w:tcPr>
            <w:tcW w:w="1134" w:type="dxa"/>
          </w:tcPr>
          <w:p w14:paraId="776CE2CC" w14:textId="255688FA" w:rsidR="007B5BE5" w:rsidRPr="004A3080" w:rsidRDefault="008976D2"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42.4</w:t>
            </w:r>
          </w:p>
        </w:tc>
        <w:tc>
          <w:tcPr>
            <w:tcW w:w="953" w:type="dxa"/>
          </w:tcPr>
          <w:p w14:paraId="2745AC50" w14:textId="24374C28" w:rsidR="007B5BE5" w:rsidRPr="004A3080" w:rsidRDefault="00DF061D"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33.9</w:t>
            </w:r>
          </w:p>
        </w:tc>
        <w:tc>
          <w:tcPr>
            <w:tcW w:w="1173" w:type="dxa"/>
          </w:tcPr>
          <w:p w14:paraId="36F04ACF" w14:textId="7B1E26A6" w:rsidR="007B5BE5" w:rsidRPr="004A3080" w:rsidRDefault="004A3080"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115</w:t>
            </w:r>
          </w:p>
        </w:tc>
      </w:tr>
      <w:tr w:rsidR="007B5BE5" w14:paraId="1CCB46D4" w14:textId="77777777" w:rsidTr="007E34B7">
        <w:tc>
          <w:tcPr>
            <w:tcW w:w="1838" w:type="dxa"/>
          </w:tcPr>
          <w:p w14:paraId="3D5E830E" w14:textId="77777777" w:rsidR="007B5BE5" w:rsidRDefault="007B5BE5" w:rsidP="007E34B7">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 xml:space="preserve">Total </w:t>
            </w:r>
          </w:p>
        </w:tc>
        <w:tc>
          <w:tcPr>
            <w:tcW w:w="851" w:type="dxa"/>
          </w:tcPr>
          <w:p w14:paraId="6DD67C36" w14:textId="78F53F4F" w:rsidR="007B5BE5" w:rsidRPr="004A3080" w:rsidRDefault="004A3080"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371</w:t>
            </w:r>
          </w:p>
        </w:tc>
        <w:tc>
          <w:tcPr>
            <w:tcW w:w="1134" w:type="dxa"/>
          </w:tcPr>
          <w:p w14:paraId="5868126F" w14:textId="77777777" w:rsidR="007B5BE5" w:rsidRPr="004A3080" w:rsidRDefault="007B5BE5" w:rsidP="007E34B7">
            <w:pPr>
              <w:widowControl w:val="0"/>
              <w:spacing w:after="120"/>
              <w:jc w:val="center"/>
              <w:rPr>
                <w:rFonts w:ascii="Verdana" w:eastAsia="Times New Roman" w:hAnsi="Verdana" w:cs="Calibri"/>
                <w:color w:val="000000"/>
                <w:kern w:val="28"/>
                <w:lang w:eastAsia="en-GB"/>
                <w14:cntxtAlts/>
              </w:rPr>
            </w:pPr>
            <w:r w:rsidRPr="004A3080">
              <w:rPr>
                <w:rFonts w:ascii="Verdana" w:eastAsia="Times New Roman" w:hAnsi="Verdana" w:cs="Calibri"/>
                <w:color w:val="000000"/>
                <w:kern w:val="28"/>
                <w:lang w:eastAsia="en-GB"/>
                <w14:cntxtAlts/>
              </w:rPr>
              <w:t>-</w:t>
            </w:r>
          </w:p>
        </w:tc>
        <w:tc>
          <w:tcPr>
            <w:tcW w:w="850" w:type="dxa"/>
          </w:tcPr>
          <w:p w14:paraId="2B981F0A" w14:textId="77777777" w:rsidR="007B5BE5" w:rsidRPr="004A3080" w:rsidRDefault="007B5BE5" w:rsidP="007E34B7">
            <w:pPr>
              <w:widowControl w:val="0"/>
              <w:spacing w:after="120"/>
              <w:jc w:val="center"/>
              <w:rPr>
                <w:rFonts w:ascii="Verdana" w:eastAsia="Times New Roman" w:hAnsi="Verdana" w:cs="Calibri"/>
                <w:color w:val="000000"/>
                <w:kern w:val="28"/>
                <w:lang w:eastAsia="en-GB"/>
                <w14:cntxtAlts/>
              </w:rPr>
            </w:pPr>
            <w:r w:rsidRPr="004A3080">
              <w:rPr>
                <w:rFonts w:ascii="Verdana" w:eastAsia="Times New Roman" w:hAnsi="Verdana" w:cs="Calibri"/>
                <w:color w:val="000000"/>
                <w:kern w:val="28"/>
                <w:lang w:eastAsia="en-GB"/>
                <w14:cntxtAlts/>
              </w:rPr>
              <w:t>-</w:t>
            </w:r>
          </w:p>
        </w:tc>
        <w:tc>
          <w:tcPr>
            <w:tcW w:w="1134" w:type="dxa"/>
          </w:tcPr>
          <w:p w14:paraId="05EB9FFF" w14:textId="1DD18690" w:rsidR="007B5BE5" w:rsidRPr="004A3080" w:rsidRDefault="004A3080"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92</w:t>
            </w:r>
          </w:p>
        </w:tc>
        <w:tc>
          <w:tcPr>
            <w:tcW w:w="1134" w:type="dxa"/>
          </w:tcPr>
          <w:p w14:paraId="3B65B98D" w14:textId="77777777" w:rsidR="007B5BE5" w:rsidRPr="004A3080" w:rsidRDefault="007B5BE5" w:rsidP="007E34B7">
            <w:pPr>
              <w:widowControl w:val="0"/>
              <w:spacing w:after="120"/>
              <w:jc w:val="center"/>
              <w:rPr>
                <w:rFonts w:ascii="Verdana" w:eastAsia="Times New Roman" w:hAnsi="Verdana" w:cs="Calibri"/>
                <w:color w:val="000000"/>
                <w:kern w:val="28"/>
                <w:lang w:eastAsia="en-GB"/>
                <w14:cntxtAlts/>
              </w:rPr>
            </w:pPr>
            <w:r w:rsidRPr="004A3080">
              <w:rPr>
                <w:rFonts w:ascii="Verdana" w:eastAsia="Times New Roman" w:hAnsi="Verdana" w:cs="Calibri"/>
                <w:color w:val="000000"/>
                <w:kern w:val="28"/>
                <w:lang w:eastAsia="en-GB"/>
                <w14:cntxtAlts/>
              </w:rPr>
              <w:t>-</w:t>
            </w:r>
          </w:p>
        </w:tc>
        <w:tc>
          <w:tcPr>
            <w:tcW w:w="953" w:type="dxa"/>
          </w:tcPr>
          <w:p w14:paraId="488C2DBD" w14:textId="77777777" w:rsidR="007B5BE5" w:rsidRPr="004A3080" w:rsidRDefault="007B5BE5" w:rsidP="007E34B7">
            <w:pPr>
              <w:widowControl w:val="0"/>
              <w:spacing w:after="120"/>
              <w:jc w:val="center"/>
              <w:rPr>
                <w:rFonts w:ascii="Verdana" w:eastAsia="Times New Roman" w:hAnsi="Verdana" w:cs="Calibri"/>
                <w:color w:val="000000"/>
                <w:kern w:val="28"/>
                <w:lang w:eastAsia="en-GB"/>
                <w14:cntxtAlts/>
              </w:rPr>
            </w:pPr>
            <w:r w:rsidRPr="004A3080">
              <w:rPr>
                <w:rFonts w:ascii="Verdana" w:eastAsia="Times New Roman" w:hAnsi="Verdana" w:cs="Calibri"/>
                <w:color w:val="000000"/>
                <w:kern w:val="28"/>
                <w:lang w:eastAsia="en-GB"/>
                <w14:cntxtAlts/>
              </w:rPr>
              <w:t>-</w:t>
            </w:r>
          </w:p>
        </w:tc>
        <w:tc>
          <w:tcPr>
            <w:tcW w:w="1173" w:type="dxa"/>
          </w:tcPr>
          <w:p w14:paraId="44C38B7E" w14:textId="28D50F5B" w:rsidR="007B5BE5" w:rsidRPr="004A3080" w:rsidRDefault="004A3080" w:rsidP="007E34B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463</w:t>
            </w:r>
          </w:p>
        </w:tc>
      </w:tr>
      <w:bookmarkEnd w:id="5"/>
    </w:tbl>
    <w:p w14:paraId="49106C73" w14:textId="77777777" w:rsidR="00D33D03" w:rsidRDefault="00D33D03" w:rsidP="00A52223">
      <w:pPr>
        <w:rPr>
          <w:rFonts w:ascii="Verdana" w:hAnsi="Verdana"/>
        </w:rPr>
      </w:pPr>
    </w:p>
    <w:p w14:paraId="15DFD635" w14:textId="69930AC1" w:rsidR="000A7D6E" w:rsidRDefault="000A7D6E" w:rsidP="00A52223">
      <w:pPr>
        <w:rPr>
          <w:rFonts w:ascii="Verdana" w:hAnsi="Verdana"/>
        </w:rPr>
      </w:pPr>
      <w:r>
        <w:rPr>
          <w:rFonts w:ascii="Verdana" w:hAnsi="Verdana"/>
        </w:rPr>
        <w:t>For 2020:</w:t>
      </w:r>
    </w:p>
    <w:tbl>
      <w:tblPr>
        <w:tblStyle w:val="TableGrid"/>
        <w:tblW w:w="9067" w:type="dxa"/>
        <w:tblLook w:val="04A0" w:firstRow="1" w:lastRow="0" w:firstColumn="1" w:lastColumn="0" w:noHBand="0" w:noVBand="1"/>
      </w:tblPr>
      <w:tblGrid>
        <w:gridCol w:w="1624"/>
        <w:gridCol w:w="818"/>
        <w:gridCol w:w="1095"/>
        <w:gridCol w:w="1092"/>
        <w:gridCol w:w="1102"/>
        <w:gridCol w:w="1095"/>
        <w:gridCol w:w="1092"/>
        <w:gridCol w:w="1149"/>
      </w:tblGrid>
      <w:tr w:rsidR="002D69F8" w14:paraId="70295AFD" w14:textId="672462D9" w:rsidTr="00C20B18">
        <w:tc>
          <w:tcPr>
            <w:tcW w:w="1838" w:type="dxa"/>
            <w:shd w:val="clear" w:color="auto" w:fill="D9D9D9" w:themeFill="background1" w:themeFillShade="D9"/>
          </w:tcPr>
          <w:p w14:paraId="20B7F0A6" w14:textId="77777777" w:rsidR="000A7D6E" w:rsidRPr="00507F4B" w:rsidRDefault="000A7D6E" w:rsidP="005C10D9">
            <w:pPr>
              <w:widowControl w:val="0"/>
              <w:spacing w:after="120"/>
              <w:jc w:val="center"/>
              <w:rPr>
                <w:rFonts w:ascii="Verdana" w:eastAsia="Times New Roman" w:hAnsi="Verdana" w:cs="Calibri"/>
                <w:b/>
                <w:color w:val="000000"/>
                <w:kern w:val="28"/>
                <w:lang w:eastAsia="en-GB"/>
                <w14:cntxtAlts/>
              </w:rPr>
            </w:pPr>
            <w:bookmarkStart w:id="6" w:name="_Hlk80702313"/>
            <w:r>
              <w:rPr>
                <w:rFonts w:ascii="Verdana" w:eastAsia="Times New Roman" w:hAnsi="Verdana" w:cs="Calibri"/>
                <w:b/>
                <w:color w:val="000000"/>
                <w:kern w:val="28"/>
                <w:lang w:eastAsia="en-GB"/>
                <w14:cntxtAlts/>
              </w:rPr>
              <w:t>Quartile</w:t>
            </w:r>
          </w:p>
        </w:tc>
        <w:tc>
          <w:tcPr>
            <w:tcW w:w="851" w:type="dxa"/>
            <w:shd w:val="clear" w:color="auto" w:fill="D9D9D9" w:themeFill="background1" w:themeFillShade="D9"/>
          </w:tcPr>
          <w:p w14:paraId="4B97C594" w14:textId="77777777" w:rsidR="000A7D6E" w:rsidRPr="00507F4B" w:rsidRDefault="000A7D6E" w:rsidP="005C10D9">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Male </w:t>
            </w:r>
          </w:p>
        </w:tc>
        <w:tc>
          <w:tcPr>
            <w:tcW w:w="1134" w:type="dxa"/>
            <w:shd w:val="clear" w:color="auto" w:fill="D9D9D9" w:themeFill="background1" w:themeFillShade="D9"/>
          </w:tcPr>
          <w:p w14:paraId="18839E3A" w14:textId="77777777" w:rsidR="000A7D6E" w:rsidRPr="00507F4B" w:rsidRDefault="000A7D6E" w:rsidP="005C10D9">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 gender </w:t>
            </w:r>
          </w:p>
        </w:tc>
        <w:tc>
          <w:tcPr>
            <w:tcW w:w="850" w:type="dxa"/>
            <w:shd w:val="clear" w:color="auto" w:fill="D9D9D9" w:themeFill="background1" w:themeFillShade="D9"/>
          </w:tcPr>
          <w:p w14:paraId="6475684E" w14:textId="385312CE" w:rsidR="000A7D6E" w:rsidRDefault="000A7D6E" w:rsidP="005C10D9">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w:t>
            </w:r>
            <w:r w:rsidR="002D69F8">
              <w:rPr>
                <w:rFonts w:ascii="Verdana" w:eastAsia="Times New Roman" w:hAnsi="Verdana" w:cs="Calibri"/>
                <w:b/>
                <w:color w:val="000000"/>
                <w:kern w:val="28"/>
                <w:lang w:eastAsia="en-GB"/>
                <w14:cntxtAlts/>
              </w:rPr>
              <w:t xml:space="preserve"> quartile</w:t>
            </w:r>
          </w:p>
        </w:tc>
        <w:tc>
          <w:tcPr>
            <w:tcW w:w="1134" w:type="dxa"/>
            <w:shd w:val="clear" w:color="auto" w:fill="D9D9D9" w:themeFill="background1" w:themeFillShade="D9"/>
          </w:tcPr>
          <w:p w14:paraId="0C59DA49" w14:textId="49DAA83F" w:rsidR="000A7D6E" w:rsidRPr="00507F4B" w:rsidRDefault="000A7D6E" w:rsidP="005C10D9">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Female</w:t>
            </w:r>
          </w:p>
        </w:tc>
        <w:tc>
          <w:tcPr>
            <w:tcW w:w="1134" w:type="dxa"/>
            <w:shd w:val="clear" w:color="auto" w:fill="D9D9D9" w:themeFill="background1" w:themeFillShade="D9"/>
          </w:tcPr>
          <w:p w14:paraId="6E17D35F" w14:textId="77777777" w:rsidR="000A7D6E" w:rsidRPr="00507F4B" w:rsidRDefault="000A7D6E" w:rsidP="005C10D9">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 gender</w:t>
            </w:r>
          </w:p>
        </w:tc>
        <w:tc>
          <w:tcPr>
            <w:tcW w:w="953" w:type="dxa"/>
            <w:shd w:val="clear" w:color="auto" w:fill="D9D9D9" w:themeFill="background1" w:themeFillShade="D9"/>
          </w:tcPr>
          <w:p w14:paraId="7A9D168B" w14:textId="060F0313" w:rsidR="000A7D6E" w:rsidRDefault="000A7D6E" w:rsidP="005C10D9">
            <w:pPr>
              <w:widowControl w:val="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w:t>
            </w:r>
            <w:r w:rsidR="002D69F8">
              <w:rPr>
                <w:rFonts w:ascii="Verdana" w:eastAsia="Times New Roman" w:hAnsi="Verdana" w:cs="Calibri"/>
                <w:b/>
                <w:color w:val="000000"/>
                <w:kern w:val="28"/>
                <w:lang w:eastAsia="en-GB"/>
                <w14:cntxtAlts/>
              </w:rPr>
              <w:t xml:space="preserve"> quartile</w:t>
            </w:r>
          </w:p>
        </w:tc>
        <w:tc>
          <w:tcPr>
            <w:tcW w:w="1173" w:type="dxa"/>
            <w:shd w:val="clear" w:color="auto" w:fill="D9D9D9" w:themeFill="background1" w:themeFillShade="D9"/>
          </w:tcPr>
          <w:p w14:paraId="2314CDD6" w14:textId="41118C9A" w:rsidR="000A7D6E" w:rsidRPr="00507F4B" w:rsidRDefault="000A7D6E" w:rsidP="005C10D9">
            <w:pPr>
              <w:widowControl w:val="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Total</w:t>
            </w:r>
            <w:r w:rsidR="002D69F8">
              <w:rPr>
                <w:rFonts w:ascii="Verdana" w:eastAsia="Times New Roman" w:hAnsi="Verdana" w:cs="Calibri"/>
                <w:b/>
                <w:color w:val="000000"/>
                <w:kern w:val="28"/>
                <w:lang w:eastAsia="en-GB"/>
                <w14:cntxtAlts/>
              </w:rPr>
              <w:t xml:space="preserve"> quartile</w:t>
            </w:r>
          </w:p>
        </w:tc>
      </w:tr>
      <w:tr w:rsidR="000A7D6E" w14:paraId="0A764FA8" w14:textId="3054E40F" w:rsidTr="00C20B18">
        <w:tc>
          <w:tcPr>
            <w:tcW w:w="1838" w:type="dxa"/>
          </w:tcPr>
          <w:p w14:paraId="7D948A5A" w14:textId="77777777" w:rsidR="000A7D6E" w:rsidRDefault="000A7D6E" w:rsidP="005C10D9">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Upper (U)</w:t>
            </w:r>
          </w:p>
        </w:tc>
        <w:tc>
          <w:tcPr>
            <w:tcW w:w="851" w:type="dxa"/>
          </w:tcPr>
          <w:p w14:paraId="468C9502" w14:textId="1C24C6A0"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94</w:t>
            </w:r>
          </w:p>
        </w:tc>
        <w:tc>
          <w:tcPr>
            <w:tcW w:w="1134" w:type="dxa"/>
          </w:tcPr>
          <w:p w14:paraId="1A3D4060" w14:textId="789D06AC"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27.6</w:t>
            </w:r>
          </w:p>
        </w:tc>
        <w:tc>
          <w:tcPr>
            <w:tcW w:w="850" w:type="dxa"/>
          </w:tcPr>
          <w:p w14:paraId="3E02F36D" w14:textId="7E36240E" w:rsidR="000A7D6E" w:rsidRDefault="00C20B18"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w:t>
            </w:r>
            <w:r w:rsidR="002D69F8">
              <w:rPr>
                <w:rFonts w:ascii="Verdana" w:eastAsia="Times New Roman" w:hAnsi="Verdana" w:cs="Calibri"/>
                <w:color w:val="000000"/>
                <w:kern w:val="28"/>
                <w:lang w:eastAsia="en-GB"/>
                <w14:cntxtAlts/>
              </w:rPr>
              <w:t>8.7</w:t>
            </w:r>
          </w:p>
        </w:tc>
        <w:tc>
          <w:tcPr>
            <w:tcW w:w="1134" w:type="dxa"/>
          </w:tcPr>
          <w:p w14:paraId="3ADB63C3" w14:textId="072F5600"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12</w:t>
            </w:r>
          </w:p>
        </w:tc>
        <w:tc>
          <w:tcPr>
            <w:tcW w:w="1134" w:type="dxa"/>
          </w:tcPr>
          <w:p w14:paraId="0D8F1539" w14:textId="324B1BAB"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14.6</w:t>
            </w:r>
          </w:p>
        </w:tc>
        <w:tc>
          <w:tcPr>
            <w:tcW w:w="953" w:type="dxa"/>
          </w:tcPr>
          <w:p w14:paraId="217011F4" w14:textId="1F1F6051" w:rsidR="000A7D6E" w:rsidRDefault="002D69F8"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11.3</w:t>
            </w:r>
          </w:p>
        </w:tc>
        <w:tc>
          <w:tcPr>
            <w:tcW w:w="1173" w:type="dxa"/>
          </w:tcPr>
          <w:p w14:paraId="452DD5F7" w14:textId="7776BE51"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106</w:t>
            </w:r>
          </w:p>
        </w:tc>
      </w:tr>
      <w:tr w:rsidR="000A7D6E" w14:paraId="3E8C1717" w14:textId="64962BF9" w:rsidTr="00C20B18">
        <w:tc>
          <w:tcPr>
            <w:tcW w:w="1838" w:type="dxa"/>
          </w:tcPr>
          <w:p w14:paraId="77DA9B39" w14:textId="77777777" w:rsidR="000A7D6E" w:rsidRDefault="000A7D6E" w:rsidP="005C10D9">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Upper Middle (UM)</w:t>
            </w:r>
          </w:p>
        </w:tc>
        <w:tc>
          <w:tcPr>
            <w:tcW w:w="851" w:type="dxa"/>
          </w:tcPr>
          <w:p w14:paraId="1881C695" w14:textId="65069406"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90</w:t>
            </w:r>
          </w:p>
        </w:tc>
        <w:tc>
          <w:tcPr>
            <w:tcW w:w="1134" w:type="dxa"/>
          </w:tcPr>
          <w:p w14:paraId="45ABF2C2" w14:textId="69D02C14"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26.5</w:t>
            </w:r>
          </w:p>
        </w:tc>
        <w:tc>
          <w:tcPr>
            <w:tcW w:w="850" w:type="dxa"/>
          </w:tcPr>
          <w:p w14:paraId="7197F8D1" w14:textId="4FE56BF1" w:rsidR="000A7D6E" w:rsidRDefault="002D69F8"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85.7</w:t>
            </w:r>
          </w:p>
        </w:tc>
        <w:tc>
          <w:tcPr>
            <w:tcW w:w="1134" w:type="dxa"/>
          </w:tcPr>
          <w:p w14:paraId="708CD1E4" w14:textId="124163A2"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15</w:t>
            </w:r>
          </w:p>
        </w:tc>
        <w:tc>
          <w:tcPr>
            <w:tcW w:w="1134" w:type="dxa"/>
          </w:tcPr>
          <w:p w14:paraId="655D1ABA" w14:textId="1840E7CD"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18.3</w:t>
            </w:r>
          </w:p>
        </w:tc>
        <w:tc>
          <w:tcPr>
            <w:tcW w:w="953" w:type="dxa"/>
          </w:tcPr>
          <w:p w14:paraId="7AD843B4" w14:textId="53E48695" w:rsidR="000A7D6E" w:rsidRDefault="002D69F8"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14.3</w:t>
            </w:r>
          </w:p>
        </w:tc>
        <w:tc>
          <w:tcPr>
            <w:tcW w:w="1173" w:type="dxa"/>
          </w:tcPr>
          <w:p w14:paraId="3FD737FF" w14:textId="636D801A"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105</w:t>
            </w:r>
          </w:p>
        </w:tc>
      </w:tr>
      <w:tr w:rsidR="000A7D6E" w14:paraId="6C75777E" w14:textId="5C7BEB89" w:rsidTr="00C20B18">
        <w:tc>
          <w:tcPr>
            <w:tcW w:w="1838" w:type="dxa"/>
          </w:tcPr>
          <w:p w14:paraId="1F5EA4F3" w14:textId="77777777" w:rsidR="000A7D6E" w:rsidRDefault="000A7D6E" w:rsidP="005C10D9">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Lower Middle (LM)</w:t>
            </w:r>
          </w:p>
        </w:tc>
        <w:tc>
          <w:tcPr>
            <w:tcW w:w="851" w:type="dxa"/>
          </w:tcPr>
          <w:p w14:paraId="0CEABEB8" w14:textId="184188B5"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90</w:t>
            </w:r>
          </w:p>
        </w:tc>
        <w:tc>
          <w:tcPr>
            <w:tcW w:w="1134" w:type="dxa"/>
          </w:tcPr>
          <w:p w14:paraId="24A3546A" w14:textId="7C6BC253"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26.5</w:t>
            </w:r>
          </w:p>
        </w:tc>
        <w:tc>
          <w:tcPr>
            <w:tcW w:w="850" w:type="dxa"/>
          </w:tcPr>
          <w:p w14:paraId="7879690A" w14:textId="11AC122D" w:rsidR="000A7D6E" w:rsidRDefault="00C20B18"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w:t>
            </w:r>
            <w:r w:rsidR="002D69F8">
              <w:rPr>
                <w:rFonts w:ascii="Verdana" w:eastAsia="Times New Roman" w:hAnsi="Verdana" w:cs="Calibri"/>
                <w:color w:val="000000"/>
                <w:kern w:val="28"/>
                <w:lang w:eastAsia="en-GB"/>
                <w14:cntxtAlts/>
              </w:rPr>
              <w:t>5.7</w:t>
            </w:r>
          </w:p>
        </w:tc>
        <w:tc>
          <w:tcPr>
            <w:tcW w:w="1134" w:type="dxa"/>
          </w:tcPr>
          <w:p w14:paraId="28EA297F" w14:textId="6E316841"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15</w:t>
            </w:r>
          </w:p>
        </w:tc>
        <w:tc>
          <w:tcPr>
            <w:tcW w:w="1134" w:type="dxa"/>
          </w:tcPr>
          <w:p w14:paraId="3A46AF73" w14:textId="59DC5D05"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18.3</w:t>
            </w:r>
          </w:p>
        </w:tc>
        <w:tc>
          <w:tcPr>
            <w:tcW w:w="953" w:type="dxa"/>
          </w:tcPr>
          <w:p w14:paraId="7F0889D0" w14:textId="127FBEB6" w:rsidR="000A7D6E" w:rsidRDefault="002D69F8"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14.3</w:t>
            </w:r>
          </w:p>
        </w:tc>
        <w:tc>
          <w:tcPr>
            <w:tcW w:w="1173" w:type="dxa"/>
          </w:tcPr>
          <w:p w14:paraId="44C59F1A" w14:textId="55AA3D8F"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105</w:t>
            </w:r>
          </w:p>
        </w:tc>
      </w:tr>
      <w:tr w:rsidR="000A7D6E" w14:paraId="36E47CA6" w14:textId="5DB94133" w:rsidTr="00C20B18">
        <w:tc>
          <w:tcPr>
            <w:tcW w:w="1838" w:type="dxa"/>
          </w:tcPr>
          <w:p w14:paraId="71760ED0" w14:textId="77777777" w:rsidR="000A7D6E" w:rsidRDefault="000A7D6E" w:rsidP="005C10D9">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Lower (L)</w:t>
            </w:r>
          </w:p>
        </w:tc>
        <w:tc>
          <w:tcPr>
            <w:tcW w:w="851" w:type="dxa"/>
          </w:tcPr>
          <w:p w14:paraId="59232D15" w14:textId="499AF6FF"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66</w:t>
            </w:r>
          </w:p>
        </w:tc>
        <w:tc>
          <w:tcPr>
            <w:tcW w:w="1134" w:type="dxa"/>
          </w:tcPr>
          <w:p w14:paraId="358571A5" w14:textId="278F5132"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19.4</w:t>
            </w:r>
          </w:p>
        </w:tc>
        <w:tc>
          <w:tcPr>
            <w:tcW w:w="850" w:type="dxa"/>
          </w:tcPr>
          <w:p w14:paraId="275CF4E7" w14:textId="7E178890" w:rsidR="000A7D6E" w:rsidRDefault="00C20B18"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62</w:t>
            </w:r>
            <w:r w:rsidR="002D69F8">
              <w:rPr>
                <w:rFonts w:ascii="Verdana" w:eastAsia="Times New Roman" w:hAnsi="Verdana" w:cs="Calibri"/>
                <w:color w:val="000000"/>
                <w:kern w:val="28"/>
                <w:lang w:eastAsia="en-GB"/>
                <w14:cntxtAlts/>
              </w:rPr>
              <w:t>.3</w:t>
            </w:r>
          </w:p>
        </w:tc>
        <w:tc>
          <w:tcPr>
            <w:tcW w:w="1134" w:type="dxa"/>
          </w:tcPr>
          <w:p w14:paraId="5B6599D0" w14:textId="64BFA655"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40</w:t>
            </w:r>
          </w:p>
        </w:tc>
        <w:tc>
          <w:tcPr>
            <w:tcW w:w="1134" w:type="dxa"/>
          </w:tcPr>
          <w:p w14:paraId="63CA965B" w14:textId="353839E1"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48.8</w:t>
            </w:r>
          </w:p>
        </w:tc>
        <w:tc>
          <w:tcPr>
            <w:tcW w:w="953" w:type="dxa"/>
          </w:tcPr>
          <w:p w14:paraId="474E64F5" w14:textId="1FF401EF" w:rsidR="000A7D6E" w:rsidRDefault="00C20B18"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w:t>
            </w:r>
            <w:r w:rsidR="002D69F8">
              <w:rPr>
                <w:rFonts w:ascii="Verdana" w:eastAsia="Times New Roman" w:hAnsi="Verdana" w:cs="Calibri"/>
                <w:color w:val="000000"/>
                <w:kern w:val="28"/>
                <w:lang w:eastAsia="en-GB"/>
                <w14:cntxtAlts/>
              </w:rPr>
              <w:t>7.7</w:t>
            </w:r>
          </w:p>
        </w:tc>
        <w:tc>
          <w:tcPr>
            <w:tcW w:w="1173" w:type="dxa"/>
          </w:tcPr>
          <w:p w14:paraId="6DF6FA12" w14:textId="059BDBDD"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106</w:t>
            </w:r>
          </w:p>
        </w:tc>
      </w:tr>
      <w:tr w:rsidR="000A7D6E" w14:paraId="0A5F2E31" w14:textId="57A8EBB2" w:rsidTr="00C20B18">
        <w:tc>
          <w:tcPr>
            <w:tcW w:w="1838" w:type="dxa"/>
          </w:tcPr>
          <w:p w14:paraId="768ECCBC" w14:textId="77777777" w:rsidR="000A7D6E" w:rsidRDefault="000A7D6E" w:rsidP="005C10D9">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 xml:space="preserve">Total </w:t>
            </w:r>
          </w:p>
        </w:tc>
        <w:tc>
          <w:tcPr>
            <w:tcW w:w="851" w:type="dxa"/>
          </w:tcPr>
          <w:p w14:paraId="5F513FBB" w14:textId="1D0C2B55"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340</w:t>
            </w:r>
          </w:p>
        </w:tc>
        <w:tc>
          <w:tcPr>
            <w:tcW w:w="1134" w:type="dxa"/>
          </w:tcPr>
          <w:p w14:paraId="4B06D774" w14:textId="402AB797"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w:t>
            </w:r>
          </w:p>
        </w:tc>
        <w:tc>
          <w:tcPr>
            <w:tcW w:w="850" w:type="dxa"/>
          </w:tcPr>
          <w:p w14:paraId="1B5151BA" w14:textId="47B567FE" w:rsidR="000A7D6E" w:rsidRDefault="00C20B18"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w:t>
            </w:r>
          </w:p>
        </w:tc>
        <w:tc>
          <w:tcPr>
            <w:tcW w:w="1134" w:type="dxa"/>
          </w:tcPr>
          <w:p w14:paraId="608453E8" w14:textId="342C1C95"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82</w:t>
            </w:r>
          </w:p>
        </w:tc>
        <w:tc>
          <w:tcPr>
            <w:tcW w:w="1134" w:type="dxa"/>
          </w:tcPr>
          <w:p w14:paraId="4F93D228" w14:textId="4911308C"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w:t>
            </w:r>
          </w:p>
        </w:tc>
        <w:tc>
          <w:tcPr>
            <w:tcW w:w="953" w:type="dxa"/>
          </w:tcPr>
          <w:p w14:paraId="4FB2A6DB" w14:textId="712586E8" w:rsidR="000A7D6E" w:rsidRDefault="00C20B18"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w:t>
            </w:r>
          </w:p>
        </w:tc>
        <w:tc>
          <w:tcPr>
            <w:tcW w:w="1173" w:type="dxa"/>
          </w:tcPr>
          <w:p w14:paraId="74F2316E" w14:textId="2583E345" w:rsidR="000A7D6E" w:rsidRDefault="000A7D6E" w:rsidP="005C10D9">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422</w:t>
            </w:r>
          </w:p>
        </w:tc>
      </w:tr>
      <w:bookmarkEnd w:id="6"/>
    </w:tbl>
    <w:p w14:paraId="3DAD647C" w14:textId="4B33641C" w:rsidR="007935E3" w:rsidRDefault="007935E3" w:rsidP="00A52223">
      <w:pPr>
        <w:rPr>
          <w:rFonts w:ascii="Verdana" w:hAnsi="Verdana"/>
        </w:rPr>
      </w:pPr>
    </w:p>
    <w:p w14:paraId="0D946E2D" w14:textId="12536C52" w:rsidR="00D33D03" w:rsidRDefault="00D33D03" w:rsidP="00A52223">
      <w:pPr>
        <w:rPr>
          <w:rFonts w:ascii="Verdana" w:hAnsi="Verdana"/>
        </w:rPr>
      </w:pPr>
    </w:p>
    <w:p w14:paraId="256F5391" w14:textId="3AE5A9FB" w:rsidR="00D33D03" w:rsidRDefault="00D33D03" w:rsidP="00A52223">
      <w:pPr>
        <w:rPr>
          <w:rFonts w:ascii="Verdana" w:hAnsi="Verdana"/>
        </w:rPr>
      </w:pPr>
    </w:p>
    <w:p w14:paraId="2F272258" w14:textId="2AC9B383" w:rsidR="0080519D" w:rsidRDefault="0080519D" w:rsidP="00A52223">
      <w:pPr>
        <w:rPr>
          <w:rFonts w:ascii="Verdana" w:hAnsi="Verdana"/>
        </w:rPr>
      </w:pPr>
      <w:r>
        <w:rPr>
          <w:rFonts w:ascii="Verdana" w:hAnsi="Verdana"/>
        </w:rPr>
        <w:lastRenderedPageBreak/>
        <w:t>For 2019:</w:t>
      </w:r>
    </w:p>
    <w:tbl>
      <w:tblPr>
        <w:tblStyle w:val="TableGrid"/>
        <w:tblW w:w="0" w:type="auto"/>
        <w:tblLook w:val="04A0" w:firstRow="1" w:lastRow="0" w:firstColumn="1" w:lastColumn="0" w:noHBand="0" w:noVBand="1"/>
      </w:tblPr>
      <w:tblGrid>
        <w:gridCol w:w="1616"/>
        <w:gridCol w:w="864"/>
        <w:gridCol w:w="1090"/>
        <w:gridCol w:w="1092"/>
        <w:gridCol w:w="1121"/>
        <w:gridCol w:w="1049"/>
        <w:gridCol w:w="1092"/>
        <w:gridCol w:w="1092"/>
      </w:tblGrid>
      <w:tr w:rsidR="00C20B18" w14:paraId="050C86CF" w14:textId="333B8582" w:rsidTr="00C20B18">
        <w:tc>
          <w:tcPr>
            <w:tcW w:w="1789" w:type="dxa"/>
            <w:shd w:val="clear" w:color="auto" w:fill="D9D9D9" w:themeFill="background1" w:themeFillShade="D9"/>
          </w:tcPr>
          <w:p w14:paraId="0B5D4C35" w14:textId="77777777" w:rsidR="00C20B18" w:rsidRPr="00507F4B" w:rsidRDefault="00C20B18" w:rsidP="00426F63">
            <w:pPr>
              <w:widowControl w:val="0"/>
              <w:spacing w:after="120"/>
              <w:jc w:val="center"/>
              <w:rPr>
                <w:rFonts w:ascii="Verdana" w:eastAsia="Times New Roman" w:hAnsi="Verdana" w:cs="Calibri"/>
                <w:b/>
                <w:color w:val="000000"/>
                <w:kern w:val="28"/>
                <w:lang w:eastAsia="en-GB"/>
                <w14:cntxtAlts/>
              </w:rPr>
            </w:pPr>
            <w:bookmarkStart w:id="7" w:name="_Hlk61441970"/>
            <w:r>
              <w:rPr>
                <w:rFonts w:ascii="Verdana" w:eastAsia="Times New Roman" w:hAnsi="Verdana" w:cs="Calibri"/>
                <w:b/>
                <w:color w:val="000000"/>
                <w:kern w:val="28"/>
                <w:lang w:eastAsia="en-GB"/>
                <w14:cntxtAlts/>
              </w:rPr>
              <w:t>Quartile</w:t>
            </w:r>
          </w:p>
        </w:tc>
        <w:tc>
          <w:tcPr>
            <w:tcW w:w="908" w:type="dxa"/>
            <w:shd w:val="clear" w:color="auto" w:fill="D9D9D9" w:themeFill="background1" w:themeFillShade="D9"/>
          </w:tcPr>
          <w:p w14:paraId="1541569D" w14:textId="77777777" w:rsidR="00C20B18" w:rsidRPr="00507F4B" w:rsidRDefault="00C20B18" w:rsidP="00426F63">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Male </w:t>
            </w:r>
          </w:p>
        </w:tc>
        <w:tc>
          <w:tcPr>
            <w:tcW w:w="1120" w:type="dxa"/>
            <w:shd w:val="clear" w:color="auto" w:fill="D9D9D9" w:themeFill="background1" w:themeFillShade="D9"/>
          </w:tcPr>
          <w:p w14:paraId="06A471D9" w14:textId="77777777" w:rsidR="00C20B18" w:rsidRPr="00507F4B" w:rsidRDefault="00C20B18" w:rsidP="00426F63">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 gender </w:t>
            </w:r>
          </w:p>
        </w:tc>
        <w:tc>
          <w:tcPr>
            <w:tcW w:w="879" w:type="dxa"/>
            <w:shd w:val="clear" w:color="auto" w:fill="D9D9D9" w:themeFill="background1" w:themeFillShade="D9"/>
          </w:tcPr>
          <w:p w14:paraId="57BE9BF6" w14:textId="088BA6F5" w:rsidR="00C20B18" w:rsidRDefault="00C20B18" w:rsidP="00426F63">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w:t>
            </w:r>
            <w:r w:rsidR="002D69F8">
              <w:rPr>
                <w:rFonts w:ascii="Verdana" w:eastAsia="Times New Roman" w:hAnsi="Verdana" w:cs="Calibri"/>
                <w:b/>
                <w:color w:val="000000"/>
                <w:kern w:val="28"/>
                <w:lang w:eastAsia="en-GB"/>
                <w14:cntxtAlts/>
              </w:rPr>
              <w:t xml:space="preserve"> quartile</w:t>
            </w:r>
          </w:p>
        </w:tc>
        <w:tc>
          <w:tcPr>
            <w:tcW w:w="1155" w:type="dxa"/>
            <w:shd w:val="clear" w:color="auto" w:fill="D9D9D9" w:themeFill="background1" w:themeFillShade="D9"/>
          </w:tcPr>
          <w:p w14:paraId="6DB036C5" w14:textId="174BF339" w:rsidR="00C20B18" w:rsidRPr="00507F4B" w:rsidRDefault="00C20B18" w:rsidP="00426F63">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Female</w:t>
            </w:r>
          </w:p>
        </w:tc>
        <w:tc>
          <w:tcPr>
            <w:tcW w:w="1065" w:type="dxa"/>
            <w:shd w:val="clear" w:color="auto" w:fill="D9D9D9" w:themeFill="background1" w:themeFillShade="D9"/>
          </w:tcPr>
          <w:p w14:paraId="1C321276" w14:textId="77777777" w:rsidR="00C20B18" w:rsidRPr="00507F4B" w:rsidRDefault="00C20B18" w:rsidP="00426F63">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 gender</w:t>
            </w:r>
          </w:p>
        </w:tc>
        <w:tc>
          <w:tcPr>
            <w:tcW w:w="1035" w:type="dxa"/>
            <w:shd w:val="clear" w:color="auto" w:fill="D9D9D9" w:themeFill="background1" w:themeFillShade="D9"/>
          </w:tcPr>
          <w:p w14:paraId="75D563EB" w14:textId="3D6EA5FB" w:rsidR="00C20B18" w:rsidRDefault="00C20B18" w:rsidP="00426F63">
            <w:pPr>
              <w:widowControl w:val="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w:t>
            </w:r>
            <w:r w:rsidR="002D69F8">
              <w:rPr>
                <w:rFonts w:ascii="Verdana" w:eastAsia="Times New Roman" w:hAnsi="Verdana" w:cs="Calibri"/>
                <w:b/>
                <w:color w:val="000000"/>
                <w:kern w:val="28"/>
                <w:lang w:eastAsia="en-GB"/>
                <w14:cntxtAlts/>
              </w:rPr>
              <w:t xml:space="preserve"> quartile</w:t>
            </w:r>
          </w:p>
        </w:tc>
        <w:tc>
          <w:tcPr>
            <w:tcW w:w="1065" w:type="dxa"/>
            <w:shd w:val="clear" w:color="auto" w:fill="D9D9D9" w:themeFill="background1" w:themeFillShade="D9"/>
          </w:tcPr>
          <w:p w14:paraId="47FB0C1D" w14:textId="0D39C27D" w:rsidR="00C20B18" w:rsidRPr="00507F4B" w:rsidRDefault="00C20B18" w:rsidP="00426F63">
            <w:pPr>
              <w:widowControl w:val="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Total</w:t>
            </w:r>
            <w:r w:rsidR="002D69F8">
              <w:rPr>
                <w:rFonts w:ascii="Verdana" w:eastAsia="Times New Roman" w:hAnsi="Verdana" w:cs="Calibri"/>
                <w:b/>
                <w:color w:val="000000"/>
                <w:kern w:val="28"/>
                <w:lang w:eastAsia="en-GB"/>
                <w14:cntxtAlts/>
              </w:rPr>
              <w:t xml:space="preserve"> quartile</w:t>
            </w:r>
          </w:p>
        </w:tc>
      </w:tr>
      <w:tr w:rsidR="00C20B18" w14:paraId="16B8420D" w14:textId="23EEFEAD" w:rsidTr="00C20B18">
        <w:tc>
          <w:tcPr>
            <w:tcW w:w="1789" w:type="dxa"/>
          </w:tcPr>
          <w:p w14:paraId="4C9C779C" w14:textId="77777777" w:rsidR="00C20B18" w:rsidRDefault="00C20B18" w:rsidP="00426F63">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Upper (U)</w:t>
            </w:r>
          </w:p>
        </w:tc>
        <w:tc>
          <w:tcPr>
            <w:tcW w:w="908" w:type="dxa"/>
          </w:tcPr>
          <w:p w14:paraId="29A56F4B" w14:textId="77777777"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92</w:t>
            </w:r>
          </w:p>
        </w:tc>
        <w:tc>
          <w:tcPr>
            <w:tcW w:w="1120" w:type="dxa"/>
          </w:tcPr>
          <w:p w14:paraId="4AAB5EFF" w14:textId="77777777"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27.1</w:t>
            </w:r>
          </w:p>
        </w:tc>
        <w:tc>
          <w:tcPr>
            <w:tcW w:w="879" w:type="dxa"/>
          </w:tcPr>
          <w:p w14:paraId="1F6D908A" w14:textId="417EA189"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86</w:t>
            </w:r>
            <w:r w:rsidR="003C6650">
              <w:rPr>
                <w:rFonts w:ascii="Verdana" w:eastAsia="Times New Roman" w:hAnsi="Verdana" w:cs="Calibri"/>
                <w:color w:val="000000"/>
                <w:kern w:val="28"/>
                <w:lang w:eastAsia="en-GB"/>
                <w14:cntxtAlts/>
              </w:rPr>
              <w:t>.0</w:t>
            </w:r>
          </w:p>
        </w:tc>
        <w:tc>
          <w:tcPr>
            <w:tcW w:w="1155" w:type="dxa"/>
          </w:tcPr>
          <w:p w14:paraId="2B6832CE" w14:textId="4672066E"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15</w:t>
            </w:r>
          </w:p>
        </w:tc>
        <w:tc>
          <w:tcPr>
            <w:tcW w:w="1065" w:type="dxa"/>
          </w:tcPr>
          <w:p w14:paraId="5771DE54" w14:textId="77777777"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17.6</w:t>
            </w:r>
          </w:p>
        </w:tc>
        <w:tc>
          <w:tcPr>
            <w:tcW w:w="1035" w:type="dxa"/>
          </w:tcPr>
          <w:p w14:paraId="0EE8955C" w14:textId="75217F40"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14</w:t>
            </w:r>
            <w:r w:rsidR="003C6650">
              <w:rPr>
                <w:rFonts w:ascii="Verdana" w:eastAsia="Times New Roman" w:hAnsi="Verdana" w:cs="Calibri"/>
                <w:color w:val="000000"/>
                <w:kern w:val="28"/>
                <w:lang w:eastAsia="en-GB"/>
                <w14:cntxtAlts/>
              </w:rPr>
              <w:t>.0</w:t>
            </w:r>
          </w:p>
        </w:tc>
        <w:tc>
          <w:tcPr>
            <w:tcW w:w="1065" w:type="dxa"/>
          </w:tcPr>
          <w:p w14:paraId="466B2005" w14:textId="16672AFB"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107</w:t>
            </w:r>
          </w:p>
        </w:tc>
      </w:tr>
      <w:tr w:rsidR="00C20B18" w14:paraId="23B92751" w14:textId="5F3AA23E" w:rsidTr="00C20B18">
        <w:tc>
          <w:tcPr>
            <w:tcW w:w="1789" w:type="dxa"/>
          </w:tcPr>
          <w:p w14:paraId="35CAA538" w14:textId="77777777" w:rsidR="00C20B18" w:rsidRDefault="00C20B18" w:rsidP="00426F63">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Upper Middle (UM)</w:t>
            </w:r>
          </w:p>
        </w:tc>
        <w:tc>
          <w:tcPr>
            <w:tcW w:w="908" w:type="dxa"/>
          </w:tcPr>
          <w:p w14:paraId="3A312D89" w14:textId="77777777"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92</w:t>
            </w:r>
          </w:p>
        </w:tc>
        <w:tc>
          <w:tcPr>
            <w:tcW w:w="1120" w:type="dxa"/>
          </w:tcPr>
          <w:p w14:paraId="0BACB298" w14:textId="77777777"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27.1</w:t>
            </w:r>
          </w:p>
        </w:tc>
        <w:tc>
          <w:tcPr>
            <w:tcW w:w="879" w:type="dxa"/>
          </w:tcPr>
          <w:p w14:paraId="6ED4B33E" w14:textId="2BECB92B"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w:t>
            </w:r>
            <w:r w:rsidR="003C6650">
              <w:rPr>
                <w:rFonts w:ascii="Verdana" w:eastAsia="Times New Roman" w:hAnsi="Verdana" w:cs="Calibri"/>
                <w:color w:val="000000"/>
                <w:kern w:val="28"/>
                <w:lang w:eastAsia="en-GB"/>
                <w14:cntxtAlts/>
              </w:rPr>
              <w:t>6.8</w:t>
            </w:r>
          </w:p>
        </w:tc>
        <w:tc>
          <w:tcPr>
            <w:tcW w:w="1155" w:type="dxa"/>
          </w:tcPr>
          <w:p w14:paraId="7B4C322E" w14:textId="494ECB29"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14</w:t>
            </w:r>
          </w:p>
        </w:tc>
        <w:tc>
          <w:tcPr>
            <w:tcW w:w="1065" w:type="dxa"/>
          </w:tcPr>
          <w:p w14:paraId="352DFB0F" w14:textId="77777777"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16.5</w:t>
            </w:r>
          </w:p>
        </w:tc>
        <w:tc>
          <w:tcPr>
            <w:tcW w:w="1035" w:type="dxa"/>
          </w:tcPr>
          <w:p w14:paraId="79B45CA0" w14:textId="14C976A8"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13</w:t>
            </w:r>
            <w:r w:rsidR="003C6650">
              <w:rPr>
                <w:rFonts w:ascii="Verdana" w:eastAsia="Times New Roman" w:hAnsi="Verdana" w:cs="Calibri"/>
                <w:color w:val="000000"/>
                <w:kern w:val="28"/>
                <w:lang w:eastAsia="en-GB"/>
                <w14:cntxtAlts/>
              </w:rPr>
              <w:t>.2</w:t>
            </w:r>
          </w:p>
        </w:tc>
        <w:tc>
          <w:tcPr>
            <w:tcW w:w="1065" w:type="dxa"/>
          </w:tcPr>
          <w:p w14:paraId="40053B1A" w14:textId="0BB6AA6A"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106</w:t>
            </w:r>
          </w:p>
        </w:tc>
      </w:tr>
      <w:tr w:rsidR="00C20B18" w14:paraId="0183FEC1" w14:textId="2C347883" w:rsidTr="00C20B18">
        <w:tc>
          <w:tcPr>
            <w:tcW w:w="1789" w:type="dxa"/>
          </w:tcPr>
          <w:p w14:paraId="11262439" w14:textId="77777777" w:rsidR="00C20B18" w:rsidRDefault="00C20B18" w:rsidP="00426F63">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Lower Middle (LM)</w:t>
            </w:r>
          </w:p>
        </w:tc>
        <w:tc>
          <w:tcPr>
            <w:tcW w:w="908" w:type="dxa"/>
          </w:tcPr>
          <w:p w14:paraId="7F48515B" w14:textId="77777777"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85</w:t>
            </w:r>
          </w:p>
        </w:tc>
        <w:tc>
          <w:tcPr>
            <w:tcW w:w="1120" w:type="dxa"/>
          </w:tcPr>
          <w:p w14:paraId="1466082C" w14:textId="07918FC5"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25.</w:t>
            </w:r>
            <w:r w:rsidR="00EF7AD1">
              <w:rPr>
                <w:rFonts w:ascii="Verdana" w:eastAsia="Times New Roman" w:hAnsi="Verdana" w:cs="Calibri"/>
                <w:color w:val="000000"/>
                <w:kern w:val="28"/>
                <w:lang w:eastAsia="en-GB"/>
                <w14:cntxtAlts/>
              </w:rPr>
              <w:t>0</w:t>
            </w:r>
          </w:p>
        </w:tc>
        <w:tc>
          <w:tcPr>
            <w:tcW w:w="879" w:type="dxa"/>
          </w:tcPr>
          <w:p w14:paraId="57B368F0" w14:textId="317C5B3C"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80</w:t>
            </w:r>
            <w:r w:rsidR="003C6650">
              <w:rPr>
                <w:rFonts w:ascii="Verdana" w:eastAsia="Times New Roman" w:hAnsi="Verdana" w:cs="Calibri"/>
                <w:color w:val="000000"/>
                <w:kern w:val="28"/>
                <w:lang w:eastAsia="en-GB"/>
                <w14:cntxtAlts/>
              </w:rPr>
              <w:t>.2</w:t>
            </w:r>
          </w:p>
        </w:tc>
        <w:tc>
          <w:tcPr>
            <w:tcW w:w="1155" w:type="dxa"/>
          </w:tcPr>
          <w:p w14:paraId="29543A0E" w14:textId="70ED3912"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21</w:t>
            </w:r>
          </w:p>
        </w:tc>
        <w:tc>
          <w:tcPr>
            <w:tcW w:w="1065" w:type="dxa"/>
          </w:tcPr>
          <w:p w14:paraId="1F43FC29" w14:textId="77777777"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24.7</w:t>
            </w:r>
          </w:p>
        </w:tc>
        <w:tc>
          <w:tcPr>
            <w:tcW w:w="1035" w:type="dxa"/>
          </w:tcPr>
          <w:p w14:paraId="4F7452F4" w14:textId="13CB8900" w:rsidR="00C20B18" w:rsidRDefault="003C6650"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19.8</w:t>
            </w:r>
          </w:p>
        </w:tc>
        <w:tc>
          <w:tcPr>
            <w:tcW w:w="1065" w:type="dxa"/>
          </w:tcPr>
          <w:p w14:paraId="0E2D78E7" w14:textId="17526834"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106</w:t>
            </w:r>
          </w:p>
        </w:tc>
      </w:tr>
      <w:tr w:rsidR="00C20B18" w14:paraId="14DCB84F" w14:textId="41ED9505" w:rsidTr="00C20B18">
        <w:tc>
          <w:tcPr>
            <w:tcW w:w="1789" w:type="dxa"/>
          </w:tcPr>
          <w:p w14:paraId="3FD0D481" w14:textId="77777777" w:rsidR="00C20B18" w:rsidRDefault="00C20B18" w:rsidP="00426F63">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Lower (L)</w:t>
            </w:r>
          </w:p>
        </w:tc>
        <w:tc>
          <w:tcPr>
            <w:tcW w:w="908" w:type="dxa"/>
          </w:tcPr>
          <w:p w14:paraId="49754104" w14:textId="77777777"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71</w:t>
            </w:r>
          </w:p>
        </w:tc>
        <w:tc>
          <w:tcPr>
            <w:tcW w:w="1120" w:type="dxa"/>
          </w:tcPr>
          <w:p w14:paraId="324C07D4" w14:textId="76453F12"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w:t>
            </w:r>
            <w:r w:rsidR="00EF7AD1">
              <w:rPr>
                <w:rFonts w:ascii="Verdana" w:eastAsia="Times New Roman" w:hAnsi="Verdana" w:cs="Calibri"/>
                <w:color w:val="000000"/>
                <w:kern w:val="28"/>
                <w:lang w:eastAsia="en-GB"/>
                <w14:cntxtAlts/>
              </w:rPr>
              <w:t>8</w:t>
            </w:r>
          </w:p>
        </w:tc>
        <w:tc>
          <w:tcPr>
            <w:tcW w:w="879" w:type="dxa"/>
          </w:tcPr>
          <w:p w14:paraId="2673C52D" w14:textId="59C2B527"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67</w:t>
            </w:r>
            <w:r w:rsidR="003C6650">
              <w:rPr>
                <w:rFonts w:ascii="Verdana" w:eastAsia="Times New Roman" w:hAnsi="Verdana" w:cs="Calibri"/>
                <w:color w:val="000000"/>
                <w:kern w:val="28"/>
                <w:lang w:eastAsia="en-GB"/>
                <w14:cntxtAlts/>
              </w:rPr>
              <w:t>.0</w:t>
            </w:r>
          </w:p>
        </w:tc>
        <w:tc>
          <w:tcPr>
            <w:tcW w:w="1155" w:type="dxa"/>
          </w:tcPr>
          <w:p w14:paraId="29D50D89" w14:textId="18CDB3B4"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35</w:t>
            </w:r>
          </w:p>
        </w:tc>
        <w:tc>
          <w:tcPr>
            <w:tcW w:w="1065" w:type="dxa"/>
          </w:tcPr>
          <w:p w14:paraId="6D74F91D" w14:textId="77777777"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41.2</w:t>
            </w:r>
          </w:p>
        </w:tc>
        <w:tc>
          <w:tcPr>
            <w:tcW w:w="1035" w:type="dxa"/>
          </w:tcPr>
          <w:p w14:paraId="446AB04F" w14:textId="7BF5DA33"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33</w:t>
            </w:r>
            <w:r w:rsidR="003C6650">
              <w:rPr>
                <w:rFonts w:ascii="Verdana" w:eastAsia="Times New Roman" w:hAnsi="Verdana" w:cs="Calibri"/>
                <w:color w:val="000000"/>
                <w:kern w:val="28"/>
                <w:lang w:eastAsia="en-GB"/>
                <w14:cntxtAlts/>
              </w:rPr>
              <w:t>.0</w:t>
            </w:r>
          </w:p>
        </w:tc>
        <w:tc>
          <w:tcPr>
            <w:tcW w:w="1065" w:type="dxa"/>
          </w:tcPr>
          <w:p w14:paraId="3B85BE27" w14:textId="3C9F4018"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106</w:t>
            </w:r>
          </w:p>
        </w:tc>
      </w:tr>
      <w:tr w:rsidR="00C20B18" w14:paraId="32B36EA2" w14:textId="4B237C03" w:rsidTr="00C20B18">
        <w:tc>
          <w:tcPr>
            <w:tcW w:w="1789" w:type="dxa"/>
          </w:tcPr>
          <w:p w14:paraId="729775E1" w14:textId="77777777" w:rsidR="00C20B18" w:rsidRDefault="00C20B18" w:rsidP="00426F63">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 xml:space="preserve">Total </w:t>
            </w:r>
          </w:p>
        </w:tc>
        <w:tc>
          <w:tcPr>
            <w:tcW w:w="908" w:type="dxa"/>
          </w:tcPr>
          <w:p w14:paraId="37922802" w14:textId="77777777"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340</w:t>
            </w:r>
          </w:p>
        </w:tc>
        <w:tc>
          <w:tcPr>
            <w:tcW w:w="1120" w:type="dxa"/>
          </w:tcPr>
          <w:p w14:paraId="7D15A486" w14:textId="77777777"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w:t>
            </w:r>
          </w:p>
        </w:tc>
        <w:tc>
          <w:tcPr>
            <w:tcW w:w="879" w:type="dxa"/>
          </w:tcPr>
          <w:p w14:paraId="7CA338EB" w14:textId="63C3FF49"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w:t>
            </w:r>
          </w:p>
        </w:tc>
        <w:tc>
          <w:tcPr>
            <w:tcW w:w="1155" w:type="dxa"/>
          </w:tcPr>
          <w:p w14:paraId="425593AD" w14:textId="42601F72"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85</w:t>
            </w:r>
          </w:p>
        </w:tc>
        <w:tc>
          <w:tcPr>
            <w:tcW w:w="1065" w:type="dxa"/>
          </w:tcPr>
          <w:p w14:paraId="680F3C5F" w14:textId="77777777"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w:t>
            </w:r>
          </w:p>
        </w:tc>
        <w:tc>
          <w:tcPr>
            <w:tcW w:w="1035" w:type="dxa"/>
          </w:tcPr>
          <w:p w14:paraId="6ADEE96E" w14:textId="4FF0CBB7"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w:t>
            </w:r>
          </w:p>
        </w:tc>
        <w:tc>
          <w:tcPr>
            <w:tcW w:w="1065" w:type="dxa"/>
          </w:tcPr>
          <w:p w14:paraId="2B8BF143" w14:textId="4BFAAD80" w:rsidR="00C20B18" w:rsidRDefault="00C20B18" w:rsidP="00426F63">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425</w:t>
            </w:r>
          </w:p>
        </w:tc>
      </w:tr>
      <w:bookmarkEnd w:id="7"/>
    </w:tbl>
    <w:p w14:paraId="32EE2421" w14:textId="77777777" w:rsidR="00DF26FA" w:rsidRDefault="00DF26FA" w:rsidP="00A52223">
      <w:pPr>
        <w:rPr>
          <w:rFonts w:ascii="Verdana" w:hAnsi="Verdana"/>
        </w:rPr>
      </w:pPr>
    </w:p>
    <w:p w14:paraId="513F4FB5" w14:textId="3F837A5E" w:rsidR="007F6224" w:rsidRDefault="007F6224" w:rsidP="003514F3">
      <w:pPr>
        <w:rPr>
          <w:rFonts w:ascii="Verdana" w:hAnsi="Verdana"/>
        </w:rPr>
      </w:pPr>
      <w:r>
        <w:rPr>
          <w:rFonts w:ascii="Verdana" w:hAnsi="Verdana"/>
        </w:rPr>
        <w:t>For 2018:</w:t>
      </w:r>
    </w:p>
    <w:tbl>
      <w:tblPr>
        <w:tblStyle w:val="TableGrid"/>
        <w:tblW w:w="0" w:type="auto"/>
        <w:tblLook w:val="04A0" w:firstRow="1" w:lastRow="0" w:firstColumn="1" w:lastColumn="0" w:noHBand="0" w:noVBand="1"/>
      </w:tblPr>
      <w:tblGrid>
        <w:gridCol w:w="1560"/>
        <w:gridCol w:w="891"/>
        <w:gridCol w:w="1004"/>
        <w:gridCol w:w="1092"/>
        <w:gridCol w:w="1093"/>
        <w:gridCol w:w="1169"/>
        <w:gridCol w:w="1092"/>
        <w:gridCol w:w="1115"/>
      </w:tblGrid>
      <w:tr w:rsidR="00C20B18" w14:paraId="3538BFF9" w14:textId="236768E3" w:rsidTr="00C20B18">
        <w:tc>
          <w:tcPr>
            <w:tcW w:w="1760" w:type="dxa"/>
            <w:shd w:val="clear" w:color="auto" w:fill="D9D9D9" w:themeFill="background1" w:themeFillShade="D9"/>
          </w:tcPr>
          <w:p w14:paraId="04E1BA9C" w14:textId="77777777" w:rsidR="00C20B18" w:rsidRPr="00507F4B" w:rsidRDefault="00C20B18" w:rsidP="007F17B2">
            <w:pPr>
              <w:widowControl w:val="0"/>
              <w:spacing w:after="120"/>
              <w:jc w:val="center"/>
              <w:rPr>
                <w:rFonts w:ascii="Verdana" w:eastAsia="Times New Roman" w:hAnsi="Verdana" w:cs="Calibri"/>
                <w:b/>
                <w:color w:val="000000"/>
                <w:kern w:val="28"/>
                <w:lang w:eastAsia="en-GB"/>
                <w14:cntxtAlts/>
              </w:rPr>
            </w:pPr>
            <w:bookmarkStart w:id="8" w:name="_Hlk23773869"/>
            <w:r>
              <w:rPr>
                <w:rFonts w:ascii="Verdana" w:eastAsia="Times New Roman" w:hAnsi="Verdana" w:cs="Calibri"/>
                <w:b/>
                <w:color w:val="000000"/>
                <w:kern w:val="28"/>
                <w:lang w:eastAsia="en-GB"/>
                <w14:cntxtAlts/>
              </w:rPr>
              <w:t>Quartile</w:t>
            </w:r>
          </w:p>
        </w:tc>
        <w:tc>
          <w:tcPr>
            <w:tcW w:w="960" w:type="dxa"/>
            <w:shd w:val="clear" w:color="auto" w:fill="D9D9D9" w:themeFill="background1" w:themeFillShade="D9"/>
          </w:tcPr>
          <w:p w14:paraId="62C09CB4" w14:textId="77777777" w:rsidR="00C20B18" w:rsidRPr="00507F4B" w:rsidRDefault="00C20B18" w:rsidP="007F17B2">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Male </w:t>
            </w:r>
          </w:p>
        </w:tc>
        <w:tc>
          <w:tcPr>
            <w:tcW w:w="1004" w:type="dxa"/>
            <w:shd w:val="clear" w:color="auto" w:fill="D9D9D9" w:themeFill="background1" w:themeFillShade="D9"/>
          </w:tcPr>
          <w:p w14:paraId="1248A1C6" w14:textId="77777777" w:rsidR="00C20B18" w:rsidRPr="00507F4B" w:rsidRDefault="00C20B18" w:rsidP="007F17B2">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 gender </w:t>
            </w:r>
          </w:p>
        </w:tc>
        <w:tc>
          <w:tcPr>
            <w:tcW w:w="849" w:type="dxa"/>
            <w:shd w:val="clear" w:color="auto" w:fill="D9D9D9" w:themeFill="background1" w:themeFillShade="D9"/>
          </w:tcPr>
          <w:p w14:paraId="4C2404FA" w14:textId="378C84D8" w:rsidR="00C20B18" w:rsidRDefault="00C20B18" w:rsidP="007F17B2">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w:t>
            </w:r>
            <w:r w:rsidR="002D69F8">
              <w:rPr>
                <w:rFonts w:ascii="Verdana" w:eastAsia="Times New Roman" w:hAnsi="Verdana" w:cs="Calibri"/>
                <w:b/>
                <w:color w:val="000000"/>
                <w:kern w:val="28"/>
                <w:lang w:eastAsia="en-GB"/>
                <w14:cntxtAlts/>
              </w:rPr>
              <w:t xml:space="preserve"> quartile</w:t>
            </w:r>
          </w:p>
        </w:tc>
        <w:tc>
          <w:tcPr>
            <w:tcW w:w="1124" w:type="dxa"/>
            <w:shd w:val="clear" w:color="auto" w:fill="D9D9D9" w:themeFill="background1" w:themeFillShade="D9"/>
          </w:tcPr>
          <w:p w14:paraId="0772F07D" w14:textId="4AEB9E48" w:rsidR="00C20B18" w:rsidRPr="00507F4B" w:rsidRDefault="00C20B18" w:rsidP="007F17B2">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Female</w:t>
            </w:r>
          </w:p>
        </w:tc>
        <w:tc>
          <w:tcPr>
            <w:tcW w:w="1244" w:type="dxa"/>
            <w:shd w:val="clear" w:color="auto" w:fill="D9D9D9" w:themeFill="background1" w:themeFillShade="D9"/>
          </w:tcPr>
          <w:p w14:paraId="5F80B0CB" w14:textId="77777777" w:rsidR="00C20B18" w:rsidRPr="00507F4B" w:rsidRDefault="00C20B18" w:rsidP="007F17B2">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 gender</w:t>
            </w:r>
          </w:p>
        </w:tc>
        <w:tc>
          <w:tcPr>
            <w:tcW w:w="950" w:type="dxa"/>
            <w:shd w:val="clear" w:color="auto" w:fill="D9D9D9" w:themeFill="background1" w:themeFillShade="D9"/>
          </w:tcPr>
          <w:p w14:paraId="1361B24B" w14:textId="2BA824FF" w:rsidR="00C20B18" w:rsidRDefault="00C20B18" w:rsidP="007F17B2">
            <w:pPr>
              <w:widowControl w:val="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w:t>
            </w:r>
            <w:r w:rsidR="002D69F8">
              <w:rPr>
                <w:rFonts w:ascii="Verdana" w:eastAsia="Times New Roman" w:hAnsi="Verdana" w:cs="Calibri"/>
                <w:b/>
                <w:color w:val="000000"/>
                <w:kern w:val="28"/>
                <w:lang w:eastAsia="en-GB"/>
                <w14:cntxtAlts/>
              </w:rPr>
              <w:t xml:space="preserve"> quartile</w:t>
            </w:r>
          </w:p>
        </w:tc>
        <w:tc>
          <w:tcPr>
            <w:tcW w:w="1125" w:type="dxa"/>
            <w:shd w:val="clear" w:color="auto" w:fill="D9D9D9" w:themeFill="background1" w:themeFillShade="D9"/>
          </w:tcPr>
          <w:p w14:paraId="670B3D3A" w14:textId="6FC41152" w:rsidR="00C20B18" w:rsidRPr="00507F4B" w:rsidRDefault="00C20B18" w:rsidP="007F17B2">
            <w:pPr>
              <w:widowControl w:val="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Total</w:t>
            </w:r>
            <w:r w:rsidR="002D69F8">
              <w:rPr>
                <w:rFonts w:ascii="Verdana" w:eastAsia="Times New Roman" w:hAnsi="Verdana" w:cs="Calibri"/>
                <w:b/>
                <w:color w:val="000000"/>
                <w:kern w:val="28"/>
                <w:lang w:eastAsia="en-GB"/>
                <w14:cntxtAlts/>
              </w:rPr>
              <w:t xml:space="preserve"> quartile</w:t>
            </w:r>
          </w:p>
        </w:tc>
      </w:tr>
      <w:tr w:rsidR="00C20B18" w14:paraId="31779724" w14:textId="277704C6" w:rsidTr="00C20B18">
        <w:tc>
          <w:tcPr>
            <w:tcW w:w="1760" w:type="dxa"/>
          </w:tcPr>
          <w:p w14:paraId="5D298E7E" w14:textId="77777777" w:rsidR="00C20B18" w:rsidRDefault="00C20B18" w:rsidP="007F17B2">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Upper (U)</w:t>
            </w:r>
          </w:p>
        </w:tc>
        <w:tc>
          <w:tcPr>
            <w:tcW w:w="960" w:type="dxa"/>
          </w:tcPr>
          <w:p w14:paraId="1E4C6C37" w14:textId="77777777"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99</w:t>
            </w:r>
          </w:p>
        </w:tc>
        <w:tc>
          <w:tcPr>
            <w:tcW w:w="1004" w:type="dxa"/>
          </w:tcPr>
          <w:p w14:paraId="74E037CB" w14:textId="77777777"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26.3</w:t>
            </w:r>
          </w:p>
        </w:tc>
        <w:tc>
          <w:tcPr>
            <w:tcW w:w="849" w:type="dxa"/>
          </w:tcPr>
          <w:p w14:paraId="4D54F26A" w14:textId="57C70770" w:rsidR="00C20B18" w:rsidRDefault="00732BC1"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w:t>
            </w:r>
            <w:r w:rsidR="003C6650">
              <w:rPr>
                <w:rFonts w:ascii="Verdana" w:eastAsia="Times New Roman" w:hAnsi="Verdana" w:cs="Calibri"/>
                <w:color w:val="000000"/>
                <w:kern w:val="28"/>
                <w:lang w:eastAsia="en-GB"/>
                <w14:cntxtAlts/>
              </w:rPr>
              <w:t>7.6</w:t>
            </w:r>
          </w:p>
        </w:tc>
        <w:tc>
          <w:tcPr>
            <w:tcW w:w="1124" w:type="dxa"/>
          </w:tcPr>
          <w:p w14:paraId="58C96154" w14:textId="1CDFB5FA"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14</w:t>
            </w:r>
          </w:p>
        </w:tc>
        <w:tc>
          <w:tcPr>
            <w:tcW w:w="1244" w:type="dxa"/>
          </w:tcPr>
          <w:p w14:paraId="40A7B3A6" w14:textId="77777777"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17.9</w:t>
            </w:r>
          </w:p>
        </w:tc>
        <w:tc>
          <w:tcPr>
            <w:tcW w:w="950" w:type="dxa"/>
          </w:tcPr>
          <w:p w14:paraId="289EE59A" w14:textId="7020FD0C" w:rsidR="00C20B18" w:rsidRDefault="00732BC1"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12</w:t>
            </w:r>
            <w:r w:rsidR="003C6650">
              <w:rPr>
                <w:rFonts w:ascii="Verdana" w:eastAsia="Times New Roman" w:hAnsi="Verdana" w:cs="Calibri"/>
                <w:color w:val="000000"/>
                <w:kern w:val="28"/>
                <w:lang w:eastAsia="en-GB"/>
                <w14:cntxtAlts/>
              </w:rPr>
              <w:t>.4</w:t>
            </w:r>
          </w:p>
        </w:tc>
        <w:tc>
          <w:tcPr>
            <w:tcW w:w="1125" w:type="dxa"/>
          </w:tcPr>
          <w:p w14:paraId="7CA3C2DD" w14:textId="2601A836"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113</w:t>
            </w:r>
          </w:p>
        </w:tc>
      </w:tr>
      <w:tr w:rsidR="00C20B18" w14:paraId="39DB944B" w14:textId="1EB29866" w:rsidTr="00C20B18">
        <w:tc>
          <w:tcPr>
            <w:tcW w:w="1760" w:type="dxa"/>
          </w:tcPr>
          <w:p w14:paraId="53EE077C" w14:textId="77777777" w:rsidR="00C20B18" w:rsidRDefault="00C20B18" w:rsidP="00F22997">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Upper Middle (UM)</w:t>
            </w:r>
          </w:p>
        </w:tc>
        <w:tc>
          <w:tcPr>
            <w:tcW w:w="960" w:type="dxa"/>
          </w:tcPr>
          <w:p w14:paraId="6DA1FDDB" w14:textId="77777777"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104</w:t>
            </w:r>
          </w:p>
        </w:tc>
        <w:tc>
          <w:tcPr>
            <w:tcW w:w="1004" w:type="dxa"/>
          </w:tcPr>
          <w:p w14:paraId="7A94A447" w14:textId="77777777" w:rsidR="00C20B18" w:rsidRDefault="00C20B18" w:rsidP="003B66A7">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27.6</w:t>
            </w:r>
          </w:p>
        </w:tc>
        <w:tc>
          <w:tcPr>
            <w:tcW w:w="849" w:type="dxa"/>
          </w:tcPr>
          <w:p w14:paraId="350DB329" w14:textId="484694D2" w:rsidR="00C20B18" w:rsidRDefault="00732BC1"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91</w:t>
            </w:r>
            <w:r w:rsidR="003C6650">
              <w:rPr>
                <w:rFonts w:ascii="Verdana" w:eastAsia="Times New Roman" w:hAnsi="Verdana" w:cs="Calibri"/>
                <w:color w:val="000000"/>
                <w:kern w:val="28"/>
                <w:lang w:eastAsia="en-GB"/>
                <w14:cntxtAlts/>
              </w:rPr>
              <w:t>.2</w:t>
            </w:r>
          </w:p>
        </w:tc>
        <w:tc>
          <w:tcPr>
            <w:tcW w:w="1124" w:type="dxa"/>
          </w:tcPr>
          <w:p w14:paraId="336F4363" w14:textId="4EE4A7FF"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w:t>
            </w:r>
          </w:p>
        </w:tc>
        <w:tc>
          <w:tcPr>
            <w:tcW w:w="1244" w:type="dxa"/>
          </w:tcPr>
          <w:p w14:paraId="4E78EFBA" w14:textId="77777777"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12.8</w:t>
            </w:r>
          </w:p>
        </w:tc>
        <w:tc>
          <w:tcPr>
            <w:tcW w:w="950" w:type="dxa"/>
          </w:tcPr>
          <w:p w14:paraId="59392DB6" w14:textId="5133D454" w:rsidR="00C20B18" w:rsidRDefault="003C6650"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8.8</w:t>
            </w:r>
          </w:p>
        </w:tc>
        <w:tc>
          <w:tcPr>
            <w:tcW w:w="1125" w:type="dxa"/>
          </w:tcPr>
          <w:p w14:paraId="10918658" w14:textId="72DB1172"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114</w:t>
            </w:r>
          </w:p>
        </w:tc>
      </w:tr>
      <w:tr w:rsidR="00C20B18" w14:paraId="00C1953F" w14:textId="78A39162" w:rsidTr="00C20B18">
        <w:tc>
          <w:tcPr>
            <w:tcW w:w="1760" w:type="dxa"/>
          </w:tcPr>
          <w:p w14:paraId="37D4CF2C" w14:textId="77777777" w:rsidR="00C20B18" w:rsidRDefault="00C20B18" w:rsidP="00F22997">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Lower Middle (LM)</w:t>
            </w:r>
          </w:p>
        </w:tc>
        <w:tc>
          <w:tcPr>
            <w:tcW w:w="960" w:type="dxa"/>
          </w:tcPr>
          <w:p w14:paraId="7A1CA139" w14:textId="77777777"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95</w:t>
            </w:r>
          </w:p>
        </w:tc>
        <w:tc>
          <w:tcPr>
            <w:tcW w:w="1004" w:type="dxa"/>
          </w:tcPr>
          <w:p w14:paraId="37620A88" w14:textId="77777777"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25.2</w:t>
            </w:r>
          </w:p>
        </w:tc>
        <w:tc>
          <w:tcPr>
            <w:tcW w:w="849" w:type="dxa"/>
          </w:tcPr>
          <w:p w14:paraId="1283E7CD" w14:textId="6AF13B72" w:rsidR="00C20B18" w:rsidRDefault="00732BC1"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83</w:t>
            </w:r>
            <w:r w:rsidR="003C6650">
              <w:rPr>
                <w:rFonts w:ascii="Verdana" w:eastAsia="Times New Roman" w:hAnsi="Verdana" w:cs="Calibri"/>
                <w:color w:val="000000"/>
                <w:kern w:val="28"/>
                <w:lang w:eastAsia="en-GB"/>
                <w14:cntxtAlts/>
              </w:rPr>
              <w:t>.3</w:t>
            </w:r>
          </w:p>
        </w:tc>
        <w:tc>
          <w:tcPr>
            <w:tcW w:w="1124" w:type="dxa"/>
          </w:tcPr>
          <w:p w14:paraId="473AE2F1" w14:textId="699EF758"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19</w:t>
            </w:r>
          </w:p>
        </w:tc>
        <w:tc>
          <w:tcPr>
            <w:tcW w:w="1244" w:type="dxa"/>
          </w:tcPr>
          <w:p w14:paraId="392101BB" w14:textId="77777777"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24.4</w:t>
            </w:r>
          </w:p>
        </w:tc>
        <w:tc>
          <w:tcPr>
            <w:tcW w:w="950" w:type="dxa"/>
          </w:tcPr>
          <w:p w14:paraId="451D196F" w14:textId="5932045D" w:rsidR="00C20B18" w:rsidRDefault="00732BC1"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w:t>
            </w:r>
            <w:r w:rsidR="003C6650">
              <w:rPr>
                <w:rFonts w:ascii="Verdana" w:eastAsia="Times New Roman" w:hAnsi="Verdana" w:cs="Calibri"/>
                <w:color w:val="000000"/>
                <w:kern w:val="28"/>
                <w:lang w:eastAsia="en-GB"/>
                <w14:cntxtAlts/>
              </w:rPr>
              <w:t>6.7</w:t>
            </w:r>
          </w:p>
        </w:tc>
        <w:tc>
          <w:tcPr>
            <w:tcW w:w="1125" w:type="dxa"/>
          </w:tcPr>
          <w:p w14:paraId="424C3607" w14:textId="019B7D28"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114</w:t>
            </w:r>
          </w:p>
        </w:tc>
      </w:tr>
      <w:tr w:rsidR="00C20B18" w14:paraId="38888E63" w14:textId="3B2F4B41" w:rsidTr="00C20B18">
        <w:tc>
          <w:tcPr>
            <w:tcW w:w="1760" w:type="dxa"/>
          </w:tcPr>
          <w:p w14:paraId="1D87382D" w14:textId="77777777" w:rsidR="00C20B18" w:rsidRDefault="00C20B18" w:rsidP="00F22997">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Lower (L)</w:t>
            </w:r>
          </w:p>
        </w:tc>
        <w:tc>
          <w:tcPr>
            <w:tcW w:w="960" w:type="dxa"/>
          </w:tcPr>
          <w:p w14:paraId="6782E938" w14:textId="77777777"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79</w:t>
            </w:r>
          </w:p>
        </w:tc>
        <w:tc>
          <w:tcPr>
            <w:tcW w:w="1004" w:type="dxa"/>
          </w:tcPr>
          <w:p w14:paraId="2439EAA4" w14:textId="77777777"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21.0</w:t>
            </w:r>
          </w:p>
        </w:tc>
        <w:tc>
          <w:tcPr>
            <w:tcW w:w="849" w:type="dxa"/>
          </w:tcPr>
          <w:p w14:paraId="337B1158" w14:textId="61EE7244" w:rsidR="00C20B18" w:rsidRDefault="00732BC1"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69</w:t>
            </w:r>
            <w:r w:rsidR="003C6650">
              <w:rPr>
                <w:rFonts w:ascii="Verdana" w:eastAsia="Times New Roman" w:hAnsi="Verdana" w:cs="Calibri"/>
                <w:color w:val="000000"/>
                <w:kern w:val="28"/>
                <w:lang w:eastAsia="en-GB"/>
                <w14:cntxtAlts/>
              </w:rPr>
              <w:t>.3</w:t>
            </w:r>
          </w:p>
        </w:tc>
        <w:tc>
          <w:tcPr>
            <w:tcW w:w="1124" w:type="dxa"/>
          </w:tcPr>
          <w:p w14:paraId="5CEB56EA" w14:textId="69606E79"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35</w:t>
            </w:r>
          </w:p>
        </w:tc>
        <w:tc>
          <w:tcPr>
            <w:tcW w:w="1244" w:type="dxa"/>
          </w:tcPr>
          <w:p w14:paraId="4B7237D5" w14:textId="77777777"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44.9</w:t>
            </w:r>
          </w:p>
        </w:tc>
        <w:tc>
          <w:tcPr>
            <w:tcW w:w="950" w:type="dxa"/>
          </w:tcPr>
          <w:p w14:paraId="3B569734" w14:textId="3F109A5A" w:rsidR="00C20B18" w:rsidRDefault="00732BC1"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w:t>
            </w:r>
            <w:r w:rsidR="003C6650">
              <w:rPr>
                <w:rFonts w:ascii="Verdana" w:eastAsia="Times New Roman" w:hAnsi="Verdana" w:cs="Calibri"/>
                <w:color w:val="000000"/>
                <w:kern w:val="28"/>
                <w:lang w:eastAsia="en-GB"/>
                <w14:cntxtAlts/>
              </w:rPr>
              <w:t>0.7</w:t>
            </w:r>
          </w:p>
        </w:tc>
        <w:tc>
          <w:tcPr>
            <w:tcW w:w="1125" w:type="dxa"/>
          </w:tcPr>
          <w:p w14:paraId="77D4C4A3" w14:textId="0865901E"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114</w:t>
            </w:r>
          </w:p>
        </w:tc>
      </w:tr>
      <w:tr w:rsidR="00C20B18" w14:paraId="00FC9DE0" w14:textId="22F360B0" w:rsidTr="00C20B18">
        <w:tc>
          <w:tcPr>
            <w:tcW w:w="1760" w:type="dxa"/>
          </w:tcPr>
          <w:p w14:paraId="69CB3877" w14:textId="77777777" w:rsidR="00C20B18" w:rsidRDefault="00C20B18" w:rsidP="00F22997">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 xml:space="preserve">Total </w:t>
            </w:r>
          </w:p>
        </w:tc>
        <w:tc>
          <w:tcPr>
            <w:tcW w:w="960" w:type="dxa"/>
          </w:tcPr>
          <w:p w14:paraId="34421887" w14:textId="77777777"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377</w:t>
            </w:r>
          </w:p>
        </w:tc>
        <w:tc>
          <w:tcPr>
            <w:tcW w:w="1004" w:type="dxa"/>
          </w:tcPr>
          <w:p w14:paraId="66B3D113" w14:textId="77777777"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w:t>
            </w:r>
          </w:p>
        </w:tc>
        <w:tc>
          <w:tcPr>
            <w:tcW w:w="849" w:type="dxa"/>
          </w:tcPr>
          <w:p w14:paraId="42E02604" w14:textId="4B5590ED" w:rsidR="00C20B18" w:rsidRDefault="002E5FEB"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w:t>
            </w:r>
          </w:p>
        </w:tc>
        <w:tc>
          <w:tcPr>
            <w:tcW w:w="1124" w:type="dxa"/>
          </w:tcPr>
          <w:p w14:paraId="1B68C489" w14:textId="13551A57"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78</w:t>
            </w:r>
          </w:p>
        </w:tc>
        <w:tc>
          <w:tcPr>
            <w:tcW w:w="1244" w:type="dxa"/>
          </w:tcPr>
          <w:p w14:paraId="1D486E33" w14:textId="77777777"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w:t>
            </w:r>
          </w:p>
        </w:tc>
        <w:tc>
          <w:tcPr>
            <w:tcW w:w="950" w:type="dxa"/>
          </w:tcPr>
          <w:p w14:paraId="3118C7DB" w14:textId="07FB360F" w:rsidR="00C20B18" w:rsidRDefault="002E5FEB"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w:t>
            </w:r>
          </w:p>
        </w:tc>
        <w:tc>
          <w:tcPr>
            <w:tcW w:w="1125" w:type="dxa"/>
          </w:tcPr>
          <w:p w14:paraId="7EB8575E" w14:textId="03F38A99" w:rsidR="00C20B18" w:rsidRDefault="00C20B18" w:rsidP="007F17B2">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455</w:t>
            </w:r>
          </w:p>
        </w:tc>
      </w:tr>
      <w:bookmarkEnd w:id="8"/>
    </w:tbl>
    <w:p w14:paraId="76413D10" w14:textId="77777777" w:rsidR="000176D7" w:rsidRDefault="000176D7" w:rsidP="00D33D03">
      <w:pPr>
        <w:spacing w:before="240" w:after="0"/>
        <w:rPr>
          <w:rFonts w:ascii="Verdana" w:hAnsi="Verdana"/>
        </w:rPr>
      </w:pPr>
    </w:p>
    <w:p w14:paraId="3FD092D6" w14:textId="31399271" w:rsidR="007F6224" w:rsidRDefault="00B65F6F" w:rsidP="00A52223">
      <w:pPr>
        <w:rPr>
          <w:rFonts w:ascii="Verdana" w:hAnsi="Verdana"/>
        </w:rPr>
      </w:pPr>
      <w:r>
        <w:rPr>
          <w:rFonts w:ascii="Verdana" w:hAnsi="Verdana"/>
        </w:rPr>
        <w:t>F</w:t>
      </w:r>
      <w:r w:rsidR="007F6224">
        <w:rPr>
          <w:rFonts w:ascii="Verdana" w:hAnsi="Verdana"/>
        </w:rPr>
        <w:t>or 2017:</w:t>
      </w:r>
    </w:p>
    <w:tbl>
      <w:tblPr>
        <w:tblStyle w:val="TableGrid"/>
        <w:tblW w:w="0" w:type="auto"/>
        <w:tblLook w:val="04A0" w:firstRow="1" w:lastRow="0" w:firstColumn="1" w:lastColumn="0" w:noHBand="0" w:noVBand="1"/>
      </w:tblPr>
      <w:tblGrid>
        <w:gridCol w:w="1366"/>
        <w:gridCol w:w="820"/>
        <w:gridCol w:w="1035"/>
        <w:gridCol w:w="1092"/>
        <w:gridCol w:w="1073"/>
        <w:gridCol w:w="1122"/>
        <w:gridCol w:w="1092"/>
        <w:gridCol w:w="1416"/>
      </w:tblGrid>
      <w:tr w:rsidR="002D69F8" w14:paraId="16C92F9A" w14:textId="57CF32F7" w:rsidTr="00D33D03">
        <w:tc>
          <w:tcPr>
            <w:tcW w:w="1682" w:type="dxa"/>
            <w:shd w:val="clear" w:color="auto" w:fill="D9D9D9" w:themeFill="background1" w:themeFillShade="D9"/>
          </w:tcPr>
          <w:p w14:paraId="3F9E0312" w14:textId="77777777" w:rsidR="00C20B18" w:rsidRPr="00507F4B" w:rsidRDefault="00C20B18" w:rsidP="0073271D">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Quartile</w:t>
            </w:r>
          </w:p>
        </w:tc>
        <w:tc>
          <w:tcPr>
            <w:tcW w:w="924" w:type="dxa"/>
            <w:shd w:val="clear" w:color="auto" w:fill="D9D9D9" w:themeFill="background1" w:themeFillShade="D9"/>
          </w:tcPr>
          <w:p w14:paraId="2BE88F86" w14:textId="77777777" w:rsidR="00C20B18" w:rsidRPr="00507F4B" w:rsidRDefault="00C20B18" w:rsidP="0073271D">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Male </w:t>
            </w:r>
          </w:p>
        </w:tc>
        <w:tc>
          <w:tcPr>
            <w:tcW w:w="1075" w:type="dxa"/>
            <w:shd w:val="clear" w:color="auto" w:fill="D9D9D9" w:themeFill="background1" w:themeFillShade="D9"/>
          </w:tcPr>
          <w:p w14:paraId="13D6D42F" w14:textId="77777777" w:rsidR="00C20B18" w:rsidRPr="00507F4B" w:rsidRDefault="00C20B18" w:rsidP="0073271D">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 gender </w:t>
            </w:r>
          </w:p>
        </w:tc>
        <w:tc>
          <w:tcPr>
            <w:tcW w:w="850" w:type="dxa"/>
            <w:shd w:val="clear" w:color="auto" w:fill="D9D9D9" w:themeFill="background1" w:themeFillShade="D9"/>
          </w:tcPr>
          <w:p w14:paraId="4C930ECD" w14:textId="42359306" w:rsidR="00C20B18" w:rsidRDefault="00C20B18" w:rsidP="0073271D">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w:t>
            </w:r>
            <w:r w:rsidR="002D69F8">
              <w:rPr>
                <w:rFonts w:ascii="Verdana" w:eastAsia="Times New Roman" w:hAnsi="Verdana" w:cs="Calibri"/>
                <w:b/>
                <w:color w:val="000000"/>
                <w:kern w:val="28"/>
                <w:lang w:eastAsia="en-GB"/>
                <w14:cntxtAlts/>
              </w:rPr>
              <w:t xml:space="preserve"> quartile</w:t>
            </w:r>
          </w:p>
        </w:tc>
        <w:tc>
          <w:tcPr>
            <w:tcW w:w="1134" w:type="dxa"/>
            <w:shd w:val="clear" w:color="auto" w:fill="D9D9D9" w:themeFill="background1" w:themeFillShade="D9"/>
          </w:tcPr>
          <w:p w14:paraId="3396D402" w14:textId="7E48DEAA" w:rsidR="00C20B18" w:rsidRPr="00507F4B" w:rsidRDefault="00C20B18" w:rsidP="0073271D">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Female</w:t>
            </w:r>
          </w:p>
        </w:tc>
        <w:tc>
          <w:tcPr>
            <w:tcW w:w="1276" w:type="dxa"/>
            <w:shd w:val="clear" w:color="auto" w:fill="D9D9D9" w:themeFill="background1" w:themeFillShade="D9"/>
          </w:tcPr>
          <w:p w14:paraId="3C502EC3" w14:textId="77777777" w:rsidR="00C20B18" w:rsidRPr="00507F4B" w:rsidRDefault="00C20B18" w:rsidP="0073271D">
            <w:pPr>
              <w:widowControl w:val="0"/>
              <w:spacing w:after="12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 gender</w:t>
            </w:r>
          </w:p>
        </w:tc>
        <w:tc>
          <w:tcPr>
            <w:tcW w:w="236" w:type="dxa"/>
            <w:shd w:val="clear" w:color="auto" w:fill="D9D9D9" w:themeFill="background1" w:themeFillShade="D9"/>
          </w:tcPr>
          <w:p w14:paraId="2DC190F5" w14:textId="53ADCD2B" w:rsidR="00C20B18" w:rsidRDefault="00C20B18" w:rsidP="0073271D">
            <w:pPr>
              <w:widowControl w:val="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 xml:space="preserve">% </w:t>
            </w:r>
            <w:proofErr w:type="gramStart"/>
            <w:r>
              <w:rPr>
                <w:rFonts w:ascii="Verdana" w:eastAsia="Times New Roman" w:hAnsi="Verdana" w:cs="Calibri"/>
                <w:b/>
                <w:color w:val="000000"/>
                <w:kern w:val="28"/>
                <w:lang w:eastAsia="en-GB"/>
                <w14:cntxtAlts/>
              </w:rPr>
              <w:t>of</w:t>
            </w:r>
            <w:proofErr w:type="gramEnd"/>
            <w:r>
              <w:rPr>
                <w:rFonts w:ascii="Verdana" w:eastAsia="Times New Roman" w:hAnsi="Verdana" w:cs="Calibri"/>
                <w:b/>
                <w:color w:val="000000"/>
                <w:kern w:val="28"/>
                <w:lang w:eastAsia="en-GB"/>
                <w14:cntxtAlts/>
              </w:rPr>
              <w:t xml:space="preserve"> total</w:t>
            </w:r>
            <w:r w:rsidR="002D69F8">
              <w:rPr>
                <w:rFonts w:ascii="Verdana" w:eastAsia="Times New Roman" w:hAnsi="Verdana" w:cs="Calibri"/>
                <w:b/>
                <w:color w:val="000000"/>
                <w:kern w:val="28"/>
                <w:lang w:eastAsia="en-GB"/>
                <w14:cntxtAlts/>
              </w:rPr>
              <w:t xml:space="preserve"> quartile</w:t>
            </w:r>
          </w:p>
        </w:tc>
        <w:tc>
          <w:tcPr>
            <w:tcW w:w="1839" w:type="dxa"/>
            <w:shd w:val="clear" w:color="auto" w:fill="D9D9D9" w:themeFill="background1" w:themeFillShade="D9"/>
          </w:tcPr>
          <w:p w14:paraId="6B1EC71A" w14:textId="231D5D83" w:rsidR="00C20B18" w:rsidRPr="00507F4B" w:rsidRDefault="00C20B18" w:rsidP="0073271D">
            <w:pPr>
              <w:widowControl w:val="0"/>
              <w:jc w:val="center"/>
              <w:rPr>
                <w:rFonts w:ascii="Verdana" w:eastAsia="Times New Roman" w:hAnsi="Verdana" w:cs="Calibri"/>
                <w:b/>
                <w:color w:val="000000"/>
                <w:kern w:val="28"/>
                <w:lang w:eastAsia="en-GB"/>
                <w14:cntxtAlts/>
              </w:rPr>
            </w:pPr>
            <w:r>
              <w:rPr>
                <w:rFonts w:ascii="Verdana" w:eastAsia="Times New Roman" w:hAnsi="Verdana" w:cs="Calibri"/>
                <w:b/>
                <w:color w:val="000000"/>
                <w:kern w:val="28"/>
                <w:lang w:eastAsia="en-GB"/>
                <w14:cntxtAlts/>
              </w:rPr>
              <w:t>Total</w:t>
            </w:r>
            <w:r w:rsidR="002D69F8">
              <w:rPr>
                <w:rFonts w:ascii="Verdana" w:eastAsia="Times New Roman" w:hAnsi="Verdana" w:cs="Calibri"/>
                <w:b/>
                <w:color w:val="000000"/>
                <w:kern w:val="28"/>
                <w:lang w:eastAsia="en-GB"/>
                <w14:cntxtAlts/>
              </w:rPr>
              <w:t xml:space="preserve"> quartile</w:t>
            </w:r>
          </w:p>
        </w:tc>
      </w:tr>
      <w:tr w:rsidR="00C20B18" w14:paraId="17ADB042" w14:textId="1E4F538E" w:rsidTr="00D33D03">
        <w:tc>
          <w:tcPr>
            <w:tcW w:w="1682" w:type="dxa"/>
          </w:tcPr>
          <w:p w14:paraId="3F33E3DD" w14:textId="77777777" w:rsidR="00C20B18" w:rsidRDefault="00C20B18" w:rsidP="007F6224">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Upper (U)</w:t>
            </w:r>
          </w:p>
        </w:tc>
        <w:tc>
          <w:tcPr>
            <w:tcW w:w="924" w:type="dxa"/>
          </w:tcPr>
          <w:p w14:paraId="44B9629C" w14:textId="77777777"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107</w:t>
            </w:r>
          </w:p>
        </w:tc>
        <w:tc>
          <w:tcPr>
            <w:tcW w:w="1075" w:type="dxa"/>
          </w:tcPr>
          <w:p w14:paraId="1708E5E6" w14:textId="77777777"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27.3</w:t>
            </w:r>
          </w:p>
        </w:tc>
        <w:tc>
          <w:tcPr>
            <w:tcW w:w="850" w:type="dxa"/>
          </w:tcPr>
          <w:p w14:paraId="158449CE" w14:textId="74675BA8" w:rsidR="00C20B18" w:rsidRDefault="00732BC1"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9</w:t>
            </w:r>
            <w:r w:rsidR="003C6650">
              <w:rPr>
                <w:rFonts w:ascii="Verdana" w:eastAsia="Times New Roman" w:hAnsi="Verdana" w:cs="Calibri"/>
                <w:color w:val="000000"/>
                <w:kern w:val="28"/>
                <w:lang w:eastAsia="en-GB"/>
                <w14:cntxtAlts/>
              </w:rPr>
              <w:t>0.7</w:t>
            </w:r>
          </w:p>
        </w:tc>
        <w:tc>
          <w:tcPr>
            <w:tcW w:w="1134" w:type="dxa"/>
          </w:tcPr>
          <w:p w14:paraId="4B685942" w14:textId="40ABAFCE"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11</w:t>
            </w:r>
          </w:p>
        </w:tc>
        <w:tc>
          <w:tcPr>
            <w:tcW w:w="1276" w:type="dxa"/>
          </w:tcPr>
          <w:p w14:paraId="7D35155C" w14:textId="77777777"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13.8</w:t>
            </w:r>
          </w:p>
        </w:tc>
        <w:tc>
          <w:tcPr>
            <w:tcW w:w="236" w:type="dxa"/>
          </w:tcPr>
          <w:p w14:paraId="184F18E2" w14:textId="3884F7BD" w:rsidR="00C20B18" w:rsidRDefault="00732BC1"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9</w:t>
            </w:r>
            <w:r w:rsidR="003C6650">
              <w:rPr>
                <w:rFonts w:ascii="Verdana" w:eastAsia="Times New Roman" w:hAnsi="Verdana" w:cs="Calibri"/>
                <w:color w:val="000000"/>
                <w:kern w:val="28"/>
                <w:lang w:eastAsia="en-GB"/>
                <w14:cntxtAlts/>
              </w:rPr>
              <w:t>.3</w:t>
            </w:r>
          </w:p>
        </w:tc>
        <w:tc>
          <w:tcPr>
            <w:tcW w:w="1839" w:type="dxa"/>
          </w:tcPr>
          <w:p w14:paraId="78816933" w14:textId="75E2C93D"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118</w:t>
            </w:r>
          </w:p>
        </w:tc>
      </w:tr>
      <w:tr w:rsidR="00C20B18" w14:paraId="17C383FD" w14:textId="4B0A938E" w:rsidTr="00D33D03">
        <w:tc>
          <w:tcPr>
            <w:tcW w:w="1682" w:type="dxa"/>
          </w:tcPr>
          <w:p w14:paraId="7D4F88A6" w14:textId="77777777" w:rsidR="00C20B18" w:rsidRDefault="00C20B18" w:rsidP="007F6224">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Upper Middle (UM)</w:t>
            </w:r>
          </w:p>
        </w:tc>
        <w:tc>
          <w:tcPr>
            <w:tcW w:w="924" w:type="dxa"/>
          </w:tcPr>
          <w:p w14:paraId="6F3A3CBE" w14:textId="77777777"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105</w:t>
            </w:r>
          </w:p>
        </w:tc>
        <w:tc>
          <w:tcPr>
            <w:tcW w:w="1075" w:type="dxa"/>
          </w:tcPr>
          <w:p w14:paraId="2839295B" w14:textId="77777777"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26.8</w:t>
            </w:r>
          </w:p>
        </w:tc>
        <w:tc>
          <w:tcPr>
            <w:tcW w:w="850" w:type="dxa"/>
          </w:tcPr>
          <w:p w14:paraId="78C55970" w14:textId="66FF6675" w:rsidR="00C20B18" w:rsidRDefault="00732BC1"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89</w:t>
            </w:r>
            <w:r w:rsidR="003C6650">
              <w:rPr>
                <w:rFonts w:ascii="Verdana" w:eastAsia="Times New Roman" w:hAnsi="Verdana" w:cs="Calibri"/>
                <w:color w:val="000000"/>
                <w:kern w:val="28"/>
                <w:lang w:eastAsia="en-GB"/>
                <w14:cntxtAlts/>
              </w:rPr>
              <w:t>.0</w:t>
            </w:r>
          </w:p>
        </w:tc>
        <w:tc>
          <w:tcPr>
            <w:tcW w:w="1134" w:type="dxa"/>
          </w:tcPr>
          <w:p w14:paraId="33F443ED" w14:textId="0F1020C2"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13</w:t>
            </w:r>
          </w:p>
        </w:tc>
        <w:tc>
          <w:tcPr>
            <w:tcW w:w="1276" w:type="dxa"/>
          </w:tcPr>
          <w:p w14:paraId="3CDEB9F5" w14:textId="77777777"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16.3</w:t>
            </w:r>
          </w:p>
        </w:tc>
        <w:tc>
          <w:tcPr>
            <w:tcW w:w="236" w:type="dxa"/>
          </w:tcPr>
          <w:p w14:paraId="46688FD1" w14:textId="0247A652" w:rsidR="00C20B18" w:rsidRDefault="00732BC1"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11</w:t>
            </w:r>
            <w:r w:rsidR="003C6650">
              <w:rPr>
                <w:rFonts w:ascii="Verdana" w:eastAsia="Times New Roman" w:hAnsi="Verdana" w:cs="Calibri"/>
                <w:color w:val="000000"/>
                <w:kern w:val="28"/>
                <w:lang w:eastAsia="en-GB"/>
                <w14:cntxtAlts/>
              </w:rPr>
              <w:t>.0</w:t>
            </w:r>
          </w:p>
        </w:tc>
        <w:tc>
          <w:tcPr>
            <w:tcW w:w="1839" w:type="dxa"/>
          </w:tcPr>
          <w:p w14:paraId="4790C432" w14:textId="2D7A42FC"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118</w:t>
            </w:r>
          </w:p>
        </w:tc>
      </w:tr>
      <w:tr w:rsidR="00C20B18" w14:paraId="6F21B1B7" w14:textId="6C8E62AA" w:rsidTr="00D33D03">
        <w:tc>
          <w:tcPr>
            <w:tcW w:w="1682" w:type="dxa"/>
          </w:tcPr>
          <w:p w14:paraId="42AB41E0" w14:textId="77777777" w:rsidR="00C20B18" w:rsidRDefault="00C20B18" w:rsidP="007F6224">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Lower Middle (LM)</w:t>
            </w:r>
          </w:p>
        </w:tc>
        <w:tc>
          <w:tcPr>
            <w:tcW w:w="924" w:type="dxa"/>
          </w:tcPr>
          <w:p w14:paraId="3F0AF45C" w14:textId="77777777"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100</w:t>
            </w:r>
          </w:p>
        </w:tc>
        <w:tc>
          <w:tcPr>
            <w:tcW w:w="1075" w:type="dxa"/>
          </w:tcPr>
          <w:p w14:paraId="224D39ED" w14:textId="77777777"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25.5</w:t>
            </w:r>
          </w:p>
        </w:tc>
        <w:tc>
          <w:tcPr>
            <w:tcW w:w="850" w:type="dxa"/>
          </w:tcPr>
          <w:p w14:paraId="4A33A9C9" w14:textId="4CE6ECA1" w:rsidR="00C20B18" w:rsidRDefault="00732BC1"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w:t>
            </w:r>
            <w:r w:rsidR="003C6650">
              <w:rPr>
                <w:rFonts w:ascii="Verdana" w:eastAsia="Times New Roman" w:hAnsi="Verdana" w:cs="Calibri"/>
                <w:color w:val="000000"/>
                <w:kern w:val="28"/>
                <w:lang w:eastAsia="en-GB"/>
                <w14:cntxtAlts/>
              </w:rPr>
              <w:t>4.7</w:t>
            </w:r>
          </w:p>
        </w:tc>
        <w:tc>
          <w:tcPr>
            <w:tcW w:w="1134" w:type="dxa"/>
          </w:tcPr>
          <w:p w14:paraId="07B3FE09" w14:textId="460508E9"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18</w:t>
            </w:r>
          </w:p>
        </w:tc>
        <w:tc>
          <w:tcPr>
            <w:tcW w:w="1276" w:type="dxa"/>
          </w:tcPr>
          <w:p w14:paraId="1F2556F2" w14:textId="77777777"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22.5</w:t>
            </w:r>
          </w:p>
        </w:tc>
        <w:tc>
          <w:tcPr>
            <w:tcW w:w="236" w:type="dxa"/>
          </w:tcPr>
          <w:p w14:paraId="35CCB9A6" w14:textId="68E44705" w:rsidR="00C20B18" w:rsidRDefault="00732BC1"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15</w:t>
            </w:r>
            <w:r w:rsidR="003C6650">
              <w:rPr>
                <w:rFonts w:ascii="Verdana" w:eastAsia="Times New Roman" w:hAnsi="Verdana" w:cs="Calibri"/>
                <w:color w:val="000000"/>
                <w:kern w:val="28"/>
                <w:lang w:eastAsia="en-GB"/>
                <w14:cntxtAlts/>
              </w:rPr>
              <w:t>.3</w:t>
            </w:r>
          </w:p>
        </w:tc>
        <w:tc>
          <w:tcPr>
            <w:tcW w:w="1839" w:type="dxa"/>
          </w:tcPr>
          <w:p w14:paraId="768533D0" w14:textId="34622FB3"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118</w:t>
            </w:r>
          </w:p>
        </w:tc>
      </w:tr>
      <w:tr w:rsidR="00C20B18" w14:paraId="531EB8FD" w14:textId="26DC0F64" w:rsidTr="00D33D03">
        <w:tc>
          <w:tcPr>
            <w:tcW w:w="1682" w:type="dxa"/>
          </w:tcPr>
          <w:p w14:paraId="7AAB9CC2" w14:textId="77777777" w:rsidR="00C20B18" w:rsidRDefault="00C20B18" w:rsidP="007F6224">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Lower (L)</w:t>
            </w:r>
          </w:p>
        </w:tc>
        <w:tc>
          <w:tcPr>
            <w:tcW w:w="924" w:type="dxa"/>
          </w:tcPr>
          <w:p w14:paraId="24A9B23E" w14:textId="77777777"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80</w:t>
            </w:r>
          </w:p>
        </w:tc>
        <w:tc>
          <w:tcPr>
            <w:tcW w:w="1075" w:type="dxa"/>
          </w:tcPr>
          <w:p w14:paraId="1D27C06E" w14:textId="77777777"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20.4</w:t>
            </w:r>
          </w:p>
        </w:tc>
        <w:tc>
          <w:tcPr>
            <w:tcW w:w="850" w:type="dxa"/>
          </w:tcPr>
          <w:p w14:paraId="595BA22B" w14:textId="06176D3A" w:rsidR="00C20B18" w:rsidRDefault="00732BC1"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6</w:t>
            </w:r>
            <w:r w:rsidR="003C6650">
              <w:rPr>
                <w:rFonts w:ascii="Verdana" w:eastAsia="Times New Roman" w:hAnsi="Verdana" w:cs="Calibri"/>
                <w:color w:val="000000"/>
                <w:kern w:val="28"/>
                <w:lang w:eastAsia="en-GB"/>
                <w14:cntxtAlts/>
              </w:rPr>
              <w:t>7.8</w:t>
            </w:r>
          </w:p>
        </w:tc>
        <w:tc>
          <w:tcPr>
            <w:tcW w:w="1134" w:type="dxa"/>
          </w:tcPr>
          <w:p w14:paraId="190DEF84" w14:textId="3B056760"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38</w:t>
            </w:r>
          </w:p>
        </w:tc>
        <w:tc>
          <w:tcPr>
            <w:tcW w:w="1276" w:type="dxa"/>
          </w:tcPr>
          <w:p w14:paraId="46AA4D3B" w14:textId="77777777"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47.5</w:t>
            </w:r>
          </w:p>
        </w:tc>
        <w:tc>
          <w:tcPr>
            <w:tcW w:w="236" w:type="dxa"/>
          </w:tcPr>
          <w:p w14:paraId="790BC340" w14:textId="0557B8A4" w:rsidR="00C20B18" w:rsidRDefault="00732BC1"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32</w:t>
            </w:r>
            <w:r w:rsidR="003C6650">
              <w:rPr>
                <w:rFonts w:ascii="Verdana" w:eastAsia="Times New Roman" w:hAnsi="Verdana" w:cs="Calibri"/>
                <w:color w:val="000000"/>
                <w:kern w:val="28"/>
                <w:lang w:eastAsia="en-GB"/>
                <w14:cntxtAlts/>
              </w:rPr>
              <w:t>.2</w:t>
            </w:r>
          </w:p>
        </w:tc>
        <w:tc>
          <w:tcPr>
            <w:tcW w:w="1839" w:type="dxa"/>
          </w:tcPr>
          <w:p w14:paraId="0E61A5B5" w14:textId="09FAE40F"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118</w:t>
            </w:r>
          </w:p>
        </w:tc>
      </w:tr>
      <w:tr w:rsidR="00C20B18" w14:paraId="3F5528C8" w14:textId="3E6A83D7" w:rsidTr="00D33D03">
        <w:tc>
          <w:tcPr>
            <w:tcW w:w="1682" w:type="dxa"/>
          </w:tcPr>
          <w:p w14:paraId="5CABB081" w14:textId="77777777" w:rsidR="00C20B18" w:rsidRDefault="00C20B18" w:rsidP="007F6224">
            <w:pPr>
              <w:widowControl w:val="0"/>
              <w:spacing w:after="120"/>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 xml:space="preserve">Total </w:t>
            </w:r>
          </w:p>
        </w:tc>
        <w:tc>
          <w:tcPr>
            <w:tcW w:w="924" w:type="dxa"/>
          </w:tcPr>
          <w:p w14:paraId="419F2299" w14:textId="77777777"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392</w:t>
            </w:r>
          </w:p>
        </w:tc>
        <w:tc>
          <w:tcPr>
            <w:tcW w:w="1075" w:type="dxa"/>
          </w:tcPr>
          <w:p w14:paraId="10FF2A57" w14:textId="77777777"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w:t>
            </w:r>
          </w:p>
        </w:tc>
        <w:tc>
          <w:tcPr>
            <w:tcW w:w="850" w:type="dxa"/>
          </w:tcPr>
          <w:p w14:paraId="7DCBBAA5" w14:textId="5740A3ED" w:rsidR="00C20B18" w:rsidRDefault="00732BC1"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w:t>
            </w:r>
          </w:p>
        </w:tc>
        <w:tc>
          <w:tcPr>
            <w:tcW w:w="1134" w:type="dxa"/>
          </w:tcPr>
          <w:p w14:paraId="28080E85" w14:textId="2B6932B9"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80</w:t>
            </w:r>
          </w:p>
        </w:tc>
        <w:tc>
          <w:tcPr>
            <w:tcW w:w="1276" w:type="dxa"/>
          </w:tcPr>
          <w:p w14:paraId="5821BFA9" w14:textId="77777777"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w:t>
            </w:r>
          </w:p>
        </w:tc>
        <w:tc>
          <w:tcPr>
            <w:tcW w:w="236" w:type="dxa"/>
          </w:tcPr>
          <w:p w14:paraId="02497164" w14:textId="65DDA21F" w:rsidR="00C20B18" w:rsidRDefault="00732BC1"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w:t>
            </w:r>
          </w:p>
        </w:tc>
        <w:tc>
          <w:tcPr>
            <w:tcW w:w="1839" w:type="dxa"/>
          </w:tcPr>
          <w:p w14:paraId="21C28AD7" w14:textId="534E6A1B" w:rsidR="00C20B18" w:rsidRDefault="00C20B18" w:rsidP="007F6224">
            <w:pPr>
              <w:widowControl w:val="0"/>
              <w:spacing w:after="120"/>
              <w:jc w:val="center"/>
              <w:rPr>
                <w:rFonts w:ascii="Verdana" w:eastAsia="Times New Roman" w:hAnsi="Verdana" w:cs="Calibri"/>
                <w:color w:val="000000"/>
                <w:kern w:val="28"/>
                <w:lang w:eastAsia="en-GB"/>
                <w14:cntxtAlts/>
              </w:rPr>
            </w:pPr>
            <w:r>
              <w:rPr>
                <w:rFonts w:ascii="Verdana" w:eastAsia="Times New Roman" w:hAnsi="Verdana" w:cs="Calibri"/>
                <w:color w:val="000000"/>
                <w:kern w:val="28"/>
                <w:lang w:eastAsia="en-GB"/>
                <w14:cntxtAlts/>
              </w:rPr>
              <w:t>472</w:t>
            </w:r>
          </w:p>
        </w:tc>
      </w:tr>
    </w:tbl>
    <w:p w14:paraId="410A4FDB" w14:textId="77777777" w:rsidR="00A03B38" w:rsidRDefault="00A03B38" w:rsidP="00A52223">
      <w:pPr>
        <w:rPr>
          <w:rFonts w:ascii="Verdana" w:hAnsi="Verdana"/>
        </w:rPr>
      </w:pPr>
    </w:p>
    <w:p w14:paraId="43A65E2C" w14:textId="77777777" w:rsidR="00A1123B" w:rsidRDefault="00A1123B">
      <w:pPr>
        <w:rPr>
          <w:rFonts w:ascii="Verdana" w:hAnsi="Verdana"/>
        </w:rPr>
        <w:sectPr w:rsidR="00A1123B" w:rsidSect="006E464D">
          <w:headerReference w:type="default" r:id="rId8"/>
          <w:footerReference w:type="default" r:id="rId9"/>
          <w:pgSz w:w="11906" w:h="16838"/>
          <w:pgMar w:top="359" w:right="1440" w:bottom="426" w:left="1440" w:header="708" w:footer="708" w:gutter="0"/>
          <w:cols w:space="708"/>
          <w:docGrid w:linePitch="360"/>
        </w:sectPr>
      </w:pPr>
    </w:p>
    <w:p w14:paraId="6077A11D" w14:textId="77777777" w:rsidR="00A1123B" w:rsidRPr="000020A0" w:rsidRDefault="00A1123B" w:rsidP="00CA693F">
      <w:pPr>
        <w:spacing w:before="240"/>
        <w:ind w:left="284" w:right="605"/>
        <w:rPr>
          <w:rFonts w:ascii="Verdana" w:hAnsi="Verdana"/>
          <w:b/>
          <w:sz w:val="24"/>
          <w:szCs w:val="24"/>
        </w:rPr>
      </w:pPr>
      <w:r>
        <w:rPr>
          <w:rFonts w:ascii="Verdana" w:hAnsi="Verdana"/>
          <w:b/>
          <w:sz w:val="24"/>
          <w:szCs w:val="24"/>
        </w:rPr>
        <w:lastRenderedPageBreak/>
        <w:t>Action plan</w:t>
      </w:r>
      <w:r w:rsidRPr="000020A0">
        <w:rPr>
          <w:rFonts w:ascii="Verdana" w:hAnsi="Verdana"/>
          <w:b/>
          <w:sz w:val="24"/>
          <w:szCs w:val="24"/>
        </w:rPr>
        <w:t xml:space="preserve">: Addressing our gender pay gap </w:t>
      </w:r>
    </w:p>
    <w:p w14:paraId="7950C870" w14:textId="77777777" w:rsidR="001672D6" w:rsidRPr="0075058D" w:rsidRDefault="001672D6" w:rsidP="001672D6">
      <w:pPr>
        <w:ind w:left="284" w:right="605"/>
        <w:rPr>
          <w:rFonts w:ascii="Verdana" w:eastAsia="Times New Roman" w:hAnsi="Verdana" w:cs="Arial"/>
          <w:szCs w:val="24"/>
        </w:rPr>
      </w:pPr>
      <w:r w:rsidRPr="00202965">
        <w:rPr>
          <w:rFonts w:ascii="Verdana" w:hAnsi="Verdana"/>
        </w:rPr>
        <w:t xml:space="preserve">This is the </w:t>
      </w:r>
      <w:r>
        <w:rPr>
          <w:rFonts w:ascii="Verdana" w:hAnsi="Verdana"/>
        </w:rPr>
        <w:t>sixth</w:t>
      </w:r>
      <w:r w:rsidRPr="00202965">
        <w:rPr>
          <w:rFonts w:ascii="Verdana" w:hAnsi="Verdana"/>
        </w:rPr>
        <w:t xml:space="preserve"> year of reporting </w:t>
      </w:r>
      <w:r>
        <w:rPr>
          <w:rFonts w:ascii="Verdana" w:hAnsi="Verdana"/>
        </w:rPr>
        <w:t xml:space="preserve">the Service’s gender pay gap. As already detailed within this report, many of the issues driving the gender pay gap requires a longer-term commitment and will be dependent upon the Service working together to drive change. The Service is committed to addressing the gender pay gap. Through the three key areas, the Service will strive to achieve a more representative workforce: </w:t>
      </w:r>
    </w:p>
    <w:tbl>
      <w:tblPr>
        <w:tblStyle w:val="TableGrid"/>
        <w:tblW w:w="0" w:type="auto"/>
        <w:tblInd w:w="279" w:type="dxa"/>
        <w:tblLook w:val="04A0" w:firstRow="1" w:lastRow="0" w:firstColumn="1" w:lastColumn="0" w:noHBand="0" w:noVBand="1"/>
      </w:tblPr>
      <w:tblGrid>
        <w:gridCol w:w="15167"/>
      </w:tblGrid>
      <w:tr w:rsidR="001672D6" w:rsidRPr="00A1123B" w14:paraId="661FC7D9" w14:textId="77777777" w:rsidTr="00926BCC">
        <w:tc>
          <w:tcPr>
            <w:tcW w:w="15167" w:type="dxa"/>
            <w:shd w:val="clear" w:color="auto" w:fill="F2F2F2" w:themeFill="background1" w:themeFillShade="F2"/>
          </w:tcPr>
          <w:p w14:paraId="2B266B59" w14:textId="77777777" w:rsidR="001672D6" w:rsidRDefault="001672D6" w:rsidP="00926BCC">
            <w:pPr>
              <w:spacing w:line="276" w:lineRule="auto"/>
              <w:jc w:val="center"/>
              <w:rPr>
                <w:rFonts w:ascii="Verdana" w:hAnsi="Verdana"/>
                <w:sz w:val="22"/>
                <w:szCs w:val="22"/>
              </w:rPr>
            </w:pPr>
            <w:r w:rsidRPr="00A1123B">
              <w:rPr>
                <w:rFonts w:ascii="Verdana" w:hAnsi="Verdana"/>
                <w:b/>
                <w:sz w:val="22"/>
                <w:szCs w:val="22"/>
              </w:rPr>
              <w:t>Leading transformation</w:t>
            </w:r>
            <w:r w:rsidRPr="00A1123B">
              <w:rPr>
                <w:rFonts w:ascii="Verdana" w:hAnsi="Verdana"/>
                <w:sz w:val="22"/>
                <w:szCs w:val="22"/>
              </w:rPr>
              <w:t xml:space="preserve"> </w:t>
            </w:r>
          </w:p>
          <w:p w14:paraId="7BF0F624" w14:textId="77777777" w:rsidR="001672D6" w:rsidRPr="00A1123B" w:rsidRDefault="001672D6" w:rsidP="00926BCC">
            <w:pPr>
              <w:spacing w:line="276" w:lineRule="auto"/>
              <w:rPr>
                <w:rFonts w:ascii="Verdana" w:hAnsi="Verdana"/>
                <w:sz w:val="22"/>
                <w:szCs w:val="22"/>
              </w:rPr>
            </w:pPr>
            <w:r>
              <w:rPr>
                <w:rFonts w:ascii="Verdana" w:hAnsi="Verdana"/>
                <w:sz w:val="22"/>
                <w:szCs w:val="22"/>
              </w:rPr>
              <w:t>T</w:t>
            </w:r>
            <w:r w:rsidRPr="00A1123B">
              <w:rPr>
                <w:rFonts w:ascii="Verdana" w:hAnsi="Verdana"/>
                <w:sz w:val="22"/>
                <w:szCs w:val="22"/>
              </w:rPr>
              <w:t xml:space="preserve">he Service will ensure </w:t>
            </w:r>
            <w:r w:rsidRPr="00A1123B">
              <w:rPr>
                <w:rFonts w:ascii="Verdana" w:eastAsia="Times New Roman" w:hAnsi="Verdana" w:cs="Arial"/>
                <w:sz w:val="22"/>
                <w:szCs w:val="22"/>
              </w:rPr>
              <w:t xml:space="preserve">that all employees are aware of the vision, values and behaviours expected within the workplace, improve the Service’s performance through building a diverse workforce and ensuring employees understand how the Service operates, </w:t>
            </w:r>
            <w:proofErr w:type="gramStart"/>
            <w:r w:rsidRPr="00A1123B">
              <w:rPr>
                <w:rFonts w:ascii="Verdana" w:eastAsia="Times New Roman" w:hAnsi="Verdana" w:cs="Arial"/>
                <w:sz w:val="22"/>
                <w:szCs w:val="22"/>
              </w:rPr>
              <w:t>in order to</w:t>
            </w:r>
            <w:proofErr w:type="gramEnd"/>
            <w:r w:rsidRPr="00A1123B">
              <w:rPr>
                <w:rFonts w:ascii="Verdana" w:eastAsia="Times New Roman" w:hAnsi="Verdana" w:cs="Arial"/>
                <w:sz w:val="22"/>
                <w:szCs w:val="22"/>
              </w:rPr>
              <w:t xml:space="preserve"> be as effective as possible within their role</w:t>
            </w:r>
          </w:p>
        </w:tc>
      </w:tr>
      <w:tr w:rsidR="001672D6" w:rsidRPr="00A1123B" w14:paraId="097A7308" w14:textId="77777777" w:rsidTr="00926BCC">
        <w:tc>
          <w:tcPr>
            <w:tcW w:w="15167" w:type="dxa"/>
          </w:tcPr>
          <w:p w14:paraId="6C42CAF0" w14:textId="40176898" w:rsidR="001672D6" w:rsidRPr="00925E05" w:rsidRDefault="001672D6" w:rsidP="001672D6">
            <w:pPr>
              <w:pStyle w:val="ListParagraph"/>
              <w:numPr>
                <w:ilvl w:val="0"/>
                <w:numId w:val="10"/>
              </w:numPr>
              <w:spacing w:before="240" w:line="276" w:lineRule="auto"/>
              <w:rPr>
                <w:rFonts w:ascii="Verdana" w:hAnsi="Verdana"/>
                <w:sz w:val="22"/>
                <w:szCs w:val="22"/>
              </w:rPr>
            </w:pPr>
            <w:r w:rsidRPr="00925E05">
              <w:rPr>
                <w:rFonts w:ascii="Verdana" w:hAnsi="Verdana"/>
                <w:sz w:val="22"/>
                <w:szCs w:val="22"/>
              </w:rPr>
              <w:t xml:space="preserve">The Service has a transparent approach to pay. On an annual basis the </w:t>
            </w:r>
            <w:r>
              <w:rPr>
                <w:rFonts w:ascii="Verdana" w:hAnsi="Verdana"/>
                <w:sz w:val="22"/>
                <w:szCs w:val="22"/>
              </w:rPr>
              <w:t>P</w:t>
            </w:r>
            <w:r w:rsidRPr="00925E05">
              <w:rPr>
                <w:rFonts w:ascii="Verdana" w:hAnsi="Verdana"/>
                <w:sz w:val="22"/>
                <w:szCs w:val="22"/>
              </w:rPr>
              <w:t xml:space="preserve">ay </w:t>
            </w:r>
            <w:r>
              <w:rPr>
                <w:rFonts w:ascii="Verdana" w:hAnsi="Verdana"/>
                <w:sz w:val="22"/>
                <w:szCs w:val="22"/>
              </w:rPr>
              <w:t>P</w:t>
            </w:r>
            <w:r w:rsidRPr="00925E05">
              <w:rPr>
                <w:rFonts w:ascii="Verdana" w:hAnsi="Verdana"/>
                <w:sz w:val="22"/>
                <w:szCs w:val="22"/>
              </w:rPr>
              <w:t>olicy is updated and following consideration and approval by the Fire Authority</w:t>
            </w:r>
            <w:r>
              <w:rPr>
                <w:rFonts w:ascii="Verdana" w:hAnsi="Verdana"/>
                <w:sz w:val="22"/>
                <w:szCs w:val="22"/>
              </w:rPr>
              <w:t>,</w:t>
            </w:r>
            <w:r w:rsidRPr="00925E05">
              <w:rPr>
                <w:rFonts w:ascii="Verdana" w:hAnsi="Verdana"/>
                <w:sz w:val="22"/>
                <w:szCs w:val="22"/>
              </w:rPr>
              <w:t xml:space="preserve"> published on the intranet and external website. This </w:t>
            </w:r>
            <w:r>
              <w:rPr>
                <w:rFonts w:ascii="Verdana" w:hAnsi="Verdana"/>
                <w:sz w:val="22"/>
                <w:szCs w:val="22"/>
              </w:rPr>
              <w:t>P</w:t>
            </w:r>
            <w:r w:rsidRPr="00925E05">
              <w:rPr>
                <w:rFonts w:ascii="Verdana" w:hAnsi="Verdana"/>
                <w:sz w:val="22"/>
                <w:szCs w:val="22"/>
              </w:rPr>
              <w:t xml:space="preserve">olicy sets out the Service’s approach to pay for all roles, including the </w:t>
            </w:r>
            <w:r w:rsidR="00273035">
              <w:rPr>
                <w:rFonts w:ascii="Verdana" w:hAnsi="Verdana"/>
                <w:sz w:val="22"/>
                <w:szCs w:val="22"/>
              </w:rPr>
              <w:t>level of remuneration for its most</w:t>
            </w:r>
            <w:r w:rsidRPr="00925E05">
              <w:rPr>
                <w:rFonts w:ascii="Verdana" w:hAnsi="Verdana"/>
                <w:sz w:val="22"/>
                <w:szCs w:val="22"/>
              </w:rPr>
              <w:t xml:space="preserve"> senior </w:t>
            </w:r>
            <w:r w:rsidR="00273035">
              <w:rPr>
                <w:rFonts w:ascii="Verdana" w:hAnsi="Verdana"/>
                <w:sz w:val="22"/>
                <w:szCs w:val="22"/>
              </w:rPr>
              <w:t xml:space="preserve">employees and the ratio between the highest paid salary and the median (average) salary of the workforce </w:t>
            </w:r>
          </w:p>
          <w:p w14:paraId="597043BC" w14:textId="77777777" w:rsidR="001672D6" w:rsidRPr="00E876AA" w:rsidRDefault="001672D6" w:rsidP="001672D6">
            <w:pPr>
              <w:pStyle w:val="ListParagraph"/>
              <w:numPr>
                <w:ilvl w:val="0"/>
                <w:numId w:val="10"/>
              </w:numPr>
              <w:spacing w:line="276" w:lineRule="auto"/>
              <w:rPr>
                <w:rFonts w:ascii="Verdana" w:hAnsi="Verdana"/>
                <w:sz w:val="22"/>
                <w:szCs w:val="22"/>
              </w:rPr>
            </w:pPr>
            <w:r w:rsidRPr="00E876AA">
              <w:rPr>
                <w:rFonts w:ascii="Verdana" w:hAnsi="Verdana"/>
                <w:sz w:val="22"/>
                <w:szCs w:val="22"/>
              </w:rPr>
              <w:t xml:space="preserve">The Service’s Equality, </w:t>
            </w:r>
            <w:proofErr w:type="gramStart"/>
            <w:r w:rsidRPr="00E876AA">
              <w:rPr>
                <w:rFonts w:ascii="Verdana" w:hAnsi="Verdana"/>
                <w:sz w:val="22"/>
                <w:szCs w:val="22"/>
              </w:rPr>
              <w:t>Diversity</w:t>
            </w:r>
            <w:proofErr w:type="gramEnd"/>
            <w:r w:rsidRPr="00E876AA">
              <w:rPr>
                <w:rFonts w:ascii="Verdana" w:hAnsi="Verdana"/>
                <w:sz w:val="22"/>
                <w:szCs w:val="22"/>
              </w:rPr>
              <w:t xml:space="preserve"> and Inclusion </w:t>
            </w:r>
            <w:r>
              <w:rPr>
                <w:rFonts w:ascii="Verdana" w:hAnsi="Verdana"/>
                <w:sz w:val="22"/>
                <w:szCs w:val="22"/>
              </w:rPr>
              <w:t>(EDI) P</w:t>
            </w:r>
            <w:r w:rsidRPr="00E876AA">
              <w:rPr>
                <w:rFonts w:ascii="Verdana" w:hAnsi="Verdana"/>
                <w:sz w:val="22"/>
                <w:szCs w:val="22"/>
              </w:rPr>
              <w:t xml:space="preserve">olicy demonstrates the Service’s commitment to </w:t>
            </w:r>
            <w:r>
              <w:rPr>
                <w:rFonts w:ascii="Verdana" w:hAnsi="Verdana"/>
                <w:sz w:val="22"/>
                <w:szCs w:val="22"/>
              </w:rPr>
              <w:t>EDI</w:t>
            </w:r>
            <w:r w:rsidRPr="00E876AA">
              <w:rPr>
                <w:rFonts w:ascii="Verdana" w:hAnsi="Verdana"/>
                <w:sz w:val="22"/>
                <w:szCs w:val="22"/>
              </w:rPr>
              <w:t xml:space="preserve">, by ensuring that </w:t>
            </w:r>
            <w:r>
              <w:rPr>
                <w:rFonts w:ascii="Verdana" w:hAnsi="Verdana"/>
                <w:sz w:val="22"/>
                <w:szCs w:val="22"/>
              </w:rPr>
              <w:t>EDI</w:t>
            </w:r>
            <w:r w:rsidRPr="00E876AA">
              <w:rPr>
                <w:rFonts w:ascii="Verdana" w:hAnsi="Verdana"/>
                <w:sz w:val="22"/>
                <w:szCs w:val="22"/>
              </w:rPr>
              <w:t xml:space="preserve"> is embedded in its culture and reflected in its people and behaviours, all of which will help to better serve the public</w:t>
            </w:r>
            <w:r>
              <w:rPr>
                <w:rFonts w:ascii="Verdana" w:hAnsi="Verdana"/>
                <w:sz w:val="22"/>
                <w:szCs w:val="22"/>
              </w:rPr>
              <w:t>:</w:t>
            </w:r>
          </w:p>
          <w:p w14:paraId="42E36886" w14:textId="77777777" w:rsidR="001672D6" w:rsidRPr="00E876AA" w:rsidRDefault="001672D6" w:rsidP="001672D6">
            <w:pPr>
              <w:pStyle w:val="ListParagraph"/>
              <w:numPr>
                <w:ilvl w:val="1"/>
                <w:numId w:val="10"/>
              </w:numPr>
              <w:spacing w:line="276" w:lineRule="auto"/>
              <w:rPr>
                <w:rFonts w:ascii="Verdana" w:hAnsi="Verdana"/>
                <w:sz w:val="22"/>
                <w:szCs w:val="22"/>
              </w:rPr>
            </w:pPr>
            <w:r w:rsidRPr="00E876AA">
              <w:rPr>
                <w:rFonts w:ascii="Verdana" w:hAnsi="Verdana"/>
                <w:sz w:val="22"/>
                <w:szCs w:val="22"/>
              </w:rPr>
              <w:t xml:space="preserve">By embracing equality, we promote the </w:t>
            </w:r>
            <w:r>
              <w:rPr>
                <w:rFonts w:ascii="Verdana" w:hAnsi="Verdana"/>
                <w:sz w:val="22"/>
                <w:szCs w:val="22"/>
              </w:rPr>
              <w:t>P</w:t>
            </w:r>
            <w:r w:rsidRPr="00E876AA">
              <w:rPr>
                <w:rFonts w:ascii="Verdana" w:hAnsi="Verdana"/>
                <w:sz w:val="22"/>
                <w:szCs w:val="22"/>
              </w:rPr>
              <w:t>olicy in both employment opportunities and in the delivery of its services</w:t>
            </w:r>
          </w:p>
          <w:p w14:paraId="292DC5BB" w14:textId="77777777" w:rsidR="001672D6" w:rsidRPr="00E876AA" w:rsidRDefault="001672D6" w:rsidP="001672D6">
            <w:pPr>
              <w:pStyle w:val="ListParagraph"/>
              <w:numPr>
                <w:ilvl w:val="1"/>
                <w:numId w:val="10"/>
              </w:numPr>
              <w:spacing w:line="276" w:lineRule="auto"/>
              <w:rPr>
                <w:rFonts w:ascii="Verdana" w:hAnsi="Verdana"/>
                <w:sz w:val="22"/>
                <w:szCs w:val="22"/>
              </w:rPr>
            </w:pPr>
            <w:r w:rsidRPr="00E876AA">
              <w:rPr>
                <w:rFonts w:ascii="Verdana" w:hAnsi="Verdana"/>
                <w:sz w:val="22"/>
                <w:szCs w:val="22"/>
              </w:rPr>
              <w:t xml:space="preserve">By embracing diversity, we acknowledge the full breadth of people within the community and seeks to reflect that variety within the workforce </w:t>
            </w:r>
          </w:p>
          <w:p w14:paraId="5C0763BC" w14:textId="77777777" w:rsidR="001672D6" w:rsidRPr="00E876AA" w:rsidRDefault="001672D6" w:rsidP="001672D6">
            <w:pPr>
              <w:pStyle w:val="ListParagraph"/>
              <w:numPr>
                <w:ilvl w:val="1"/>
                <w:numId w:val="10"/>
              </w:numPr>
              <w:spacing w:line="276" w:lineRule="auto"/>
              <w:rPr>
                <w:rFonts w:ascii="Verdana" w:hAnsi="Verdana"/>
                <w:sz w:val="22"/>
                <w:szCs w:val="22"/>
              </w:rPr>
            </w:pPr>
            <w:r w:rsidRPr="00E876AA">
              <w:rPr>
                <w:rFonts w:ascii="Verdana" w:hAnsi="Verdana"/>
                <w:sz w:val="22"/>
                <w:szCs w:val="22"/>
              </w:rPr>
              <w:t>By embracing inclusion, we recognise that everyone that works for the Service has a valuable contribution to make</w:t>
            </w:r>
          </w:p>
          <w:p w14:paraId="228A041B" w14:textId="77777777" w:rsidR="001672D6" w:rsidRPr="00925E05" w:rsidRDefault="001672D6" w:rsidP="001672D6">
            <w:pPr>
              <w:pStyle w:val="ListParagraph"/>
              <w:numPr>
                <w:ilvl w:val="0"/>
                <w:numId w:val="10"/>
              </w:numPr>
              <w:spacing w:line="276" w:lineRule="auto"/>
              <w:rPr>
                <w:rFonts w:ascii="Verdana" w:hAnsi="Verdana"/>
                <w:sz w:val="22"/>
                <w:szCs w:val="22"/>
              </w:rPr>
            </w:pPr>
            <w:r w:rsidRPr="00925E05">
              <w:rPr>
                <w:rFonts w:ascii="Verdana" w:hAnsi="Verdana"/>
                <w:sz w:val="22"/>
                <w:szCs w:val="22"/>
              </w:rPr>
              <w:t xml:space="preserve">The Service’s Code of Conduct provides individuals with an understanding of the standards expected </w:t>
            </w:r>
            <w:r>
              <w:rPr>
                <w:rFonts w:ascii="Verdana" w:hAnsi="Verdana"/>
                <w:sz w:val="22"/>
                <w:szCs w:val="22"/>
              </w:rPr>
              <w:t>of</w:t>
            </w:r>
            <w:r w:rsidRPr="00925E05">
              <w:rPr>
                <w:rFonts w:ascii="Verdana" w:hAnsi="Verdana"/>
                <w:sz w:val="22"/>
                <w:szCs w:val="22"/>
              </w:rPr>
              <w:t xml:space="preserve"> employee and guides behaviour, placing an obligation on all to take responsibility for their own conduct</w:t>
            </w:r>
            <w:r>
              <w:rPr>
                <w:rFonts w:ascii="Verdana" w:hAnsi="Verdana"/>
                <w:sz w:val="22"/>
                <w:szCs w:val="22"/>
              </w:rPr>
              <w:t xml:space="preserve">. The Code </w:t>
            </w:r>
            <w:r w:rsidRPr="00925E05">
              <w:rPr>
                <w:rFonts w:ascii="Verdana" w:hAnsi="Verdana"/>
                <w:sz w:val="22"/>
                <w:szCs w:val="22"/>
              </w:rPr>
              <w:t>states the Service will:</w:t>
            </w:r>
          </w:p>
          <w:p w14:paraId="23CC4D5D" w14:textId="77777777" w:rsidR="001672D6" w:rsidRPr="00925E05" w:rsidRDefault="001672D6" w:rsidP="001672D6">
            <w:pPr>
              <w:pStyle w:val="ListParagraph"/>
              <w:numPr>
                <w:ilvl w:val="1"/>
                <w:numId w:val="10"/>
              </w:numPr>
              <w:spacing w:line="276" w:lineRule="auto"/>
              <w:rPr>
                <w:rFonts w:ascii="Verdana" w:hAnsi="Verdana"/>
                <w:sz w:val="22"/>
                <w:szCs w:val="22"/>
              </w:rPr>
            </w:pPr>
            <w:r w:rsidRPr="00925E05">
              <w:rPr>
                <w:rFonts w:ascii="Verdana" w:hAnsi="Verdana"/>
                <w:sz w:val="22"/>
                <w:szCs w:val="22"/>
              </w:rPr>
              <w:t>Ensure all employees are aware of the vision, values and behaviours expected within the workplace</w:t>
            </w:r>
          </w:p>
          <w:p w14:paraId="6FC09C2F" w14:textId="77777777" w:rsidR="001672D6" w:rsidRPr="00925E05" w:rsidRDefault="001672D6" w:rsidP="001672D6">
            <w:pPr>
              <w:pStyle w:val="ListParagraph"/>
              <w:numPr>
                <w:ilvl w:val="1"/>
                <w:numId w:val="10"/>
              </w:numPr>
              <w:spacing w:line="276" w:lineRule="auto"/>
              <w:rPr>
                <w:rFonts w:ascii="Verdana" w:hAnsi="Verdana"/>
                <w:sz w:val="22"/>
                <w:szCs w:val="22"/>
              </w:rPr>
            </w:pPr>
            <w:r w:rsidRPr="00925E05">
              <w:rPr>
                <w:rFonts w:ascii="Verdana" w:hAnsi="Verdana"/>
                <w:sz w:val="22"/>
                <w:szCs w:val="22"/>
              </w:rPr>
              <w:t xml:space="preserve">Improve the Service’s performance through building a diverse workforce </w:t>
            </w:r>
          </w:p>
          <w:p w14:paraId="4B34A824" w14:textId="77777777" w:rsidR="001672D6" w:rsidRPr="00925E05" w:rsidRDefault="001672D6" w:rsidP="001672D6">
            <w:pPr>
              <w:pStyle w:val="ListParagraph"/>
              <w:numPr>
                <w:ilvl w:val="1"/>
                <w:numId w:val="10"/>
              </w:numPr>
              <w:spacing w:line="276" w:lineRule="auto"/>
              <w:rPr>
                <w:rFonts w:ascii="Verdana" w:hAnsi="Verdana"/>
                <w:sz w:val="22"/>
                <w:szCs w:val="22"/>
              </w:rPr>
            </w:pPr>
            <w:r w:rsidRPr="00925E05">
              <w:rPr>
                <w:rFonts w:ascii="Verdana" w:hAnsi="Verdana"/>
                <w:sz w:val="22"/>
                <w:szCs w:val="22"/>
              </w:rPr>
              <w:t xml:space="preserve">Ensure employees understand how the Service operates, </w:t>
            </w:r>
            <w:proofErr w:type="gramStart"/>
            <w:r w:rsidRPr="00925E05">
              <w:rPr>
                <w:rFonts w:ascii="Verdana" w:hAnsi="Verdana"/>
                <w:sz w:val="22"/>
                <w:szCs w:val="22"/>
              </w:rPr>
              <w:t>in order to</w:t>
            </w:r>
            <w:proofErr w:type="gramEnd"/>
            <w:r w:rsidRPr="00925E05">
              <w:rPr>
                <w:rFonts w:ascii="Verdana" w:hAnsi="Verdana"/>
                <w:sz w:val="22"/>
                <w:szCs w:val="22"/>
              </w:rPr>
              <w:t xml:space="preserve"> be as effective as possible within their role</w:t>
            </w:r>
          </w:p>
          <w:p w14:paraId="3E234AAA" w14:textId="52A4D7F4" w:rsidR="001672D6" w:rsidRDefault="001672D6" w:rsidP="001672D6">
            <w:pPr>
              <w:pStyle w:val="ListParagraph"/>
              <w:numPr>
                <w:ilvl w:val="0"/>
                <w:numId w:val="10"/>
              </w:numPr>
              <w:spacing w:line="276" w:lineRule="auto"/>
              <w:rPr>
                <w:rFonts w:ascii="Verdana" w:hAnsi="Verdana"/>
                <w:sz w:val="22"/>
                <w:szCs w:val="22"/>
              </w:rPr>
            </w:pPr>
            <w:r>
              <w:rPr>
                <w:rFonts w:ascii="Verdana" w:hAnsi="Verdana"/>
                <w:sz w:val="22"/>
                <w:szCs w:val="22"/>
              </w:rPr>
              <w:lastRenderedPageBreak/>
              <w:t xml:space="preserve">The Code of Ethics Fire Standard for England, published May 2021, </w:t>
            </w:r>
            <w:proofErr w:type="gramStart"/>
            <w:r>
              <w:rPr>
                <w:rFonts w:ascii="Verdana" w:hAnsi="Verdana"/>
                <w:sz w:val="22"/>
                <w:szCs w:val="22"/>
              </w:rPr>
              <w:t>complements</w:t>
            </w:r>
            <w:proofErr w:type="gramEnd"/>
            <w:r>
              <w:rPr>
                <w:rFonts w:ascii="Verdana" w:hAnsi="Verdana"/>
                <w:sz w:val="22"/>
                <w:szCs w:val="22"/>
              </w:rPr>
              <w:t xml:space="preserve"> and supports the Service’s vision and values which forms part of everything the Service does. The principles in the Core Code are based on the Seven Principles </w:t>
            </w:r>
            <w:r w:rsidR="00273035">
              <w:rPr>
                <w:rFonts w:ascii="Verdana" w:hAnsi="Verdana"/>
                <w:sz w:val="22"/>
                <w:szCs w:val="22"/>
              </w:rPr>
              <w:t>o</w:t>
            </w:r>
            <w:r>
              <w:rPr>
                <w:rFonts w:ascii="Verdana" w:hAnsi="Verdana"/>
                <w:sz w:val="22"/>
                <w:szCs w:val="22"/>
              </w:rPr>
              <w:t xml:space="preserve">f Public Life, known as the Nolan Principles, tailored to suit the Fire and Rescue Service’s context. The Code of Ethics Fire Standard specifically requires Fire Services to embed and show their commitment to the five ethical principles and professional behaviours contained in the Core Code </w:t>
            </w:r>
          </w:p>
          <w:p w14:paraId="6AF43093" w14:textId="77777777" w:rsidR="001672D6" w:rsidRDefault="001672D6" w:rsidP="001672D6">
            <w:pPr>
              <w:pStyle w:val="ListParagraph"/>
              <w:numPr>
                <w:ilvl w:val="0"/>
                <w:numId w:val="10"/>
              </w:numPr>
              <w:spacing w:line="276" w:lineRule="auto"/>
              <w:rPr>
                <w:rFonts w:ascii="Verdana" w:hAnsi="Verdana"/>
                <w:sz w:val="22"/>
                <w:szCs w:val="22"/>
              </w:rPr>
            </w:pPr>
            <w:r w:rsidRPr="00925E05">
              <w:rPr>
                <w:rFonts w:ascii="Verdana" w:hAnsi="Verdana"/>
                <w:sz w:val="22"/>
                <w:szCs w:val="22"/>
              </w:rPr>
              <w:t xml:space="preserve">The Service strives to be a family friendly workplace, which recognises and supports employees in balancing their responsibilities of work and home. </w:t>
            </w:r>
            <w:r>
              <w:rPr>
                <w:rFonts w:ascii="Verdana" w:hAnsi="Verdana"/>
                <w:sz w:val="22"/>
                <w:szCs w:val="22"/>
              </w:rPr>
              <w:t>The Service’s</w:t>
            </w:r>
            <w:r w:rsidRPr="00925E05">
              <w:rPr>
                <w:rFonts w:ascii="Verdana" w:hAnsi="Verdana"/>
                <w:sz w:val="22"/>
                <w:szCs w:val="22"/>
              </w:rPr>
              <w:t xml:space="preserve"> </w:t>
            </w:r>
            <w:r>
              <w:rPr>
                <w:rFonts w:ascii="Verdana" w:hAnsi="Verdana"/>
                <w:sz w:val="22"/>
                <w:szCs w:val="22"/>
              </w:rPr>
              <w:t>M</w:t>
            </w:r>
            <w:r w:rsidRPr="00925E05">
              <w:rPr>
                <w:rFonts w:ascii="Verdana" w:hAnsi="Verdana"/>
                <w:sz w:val="22"/>
                <w:szCs w:val="22"/>
              </w:rPr>
              <w:t xml:space="preserve">aternity, </w:t>
            </w:r>
            <w:r>
              <w:rPr>
                <w:rFonts w:ascii="Verdana" w:hAnsi="Verdana"/>
                <w:sz w:val="22"/>
                <w:szCs w:val="22"/>
              </w:rPr>
              <w:t>A</w:t>
            </w:r>
            <w:r w:rsidRPr="00925E05">
              <w:rPr>
                <w:rFonts w:ascii="Verdana" w:hAnsi="Verdana"/>
                <w:sz w:val="22"/>
                <w:szCs w:val="22"/>
              </w:rPr>
              <w:t xml:space="preserve">doption and </w:t>
            </w:r>
            <w:r>
              <w:rPr>
                <w:rFonts w:ascii="Verdana" w:hAnsi="Verdana"/>
                <w:sz w:val="22"/>
                <w:szCs w:val="22"/>
              </w:rPr>
              <w:t>P</w:t>
            </w:r>
            <w:r w:rsidRPr="00925E05">
              <w:rPr>
                <w:rFonts w:ascii="Verdana" w:hAnsi="Verdana"/>
                <w:sz w:val="22"/>
                <w:szCs w:val="22"/>
              </w:rPr>
              <w:t xml:space="preserve">arental </w:t>
            </w:r>
            <w:r>
              <w:rPr>
                <w:rFonts w:ascii="Verdana" w:hAnsi="Verdana"/>
                <w:sz w:val="22"/>
                <w:szCs w:val="22"/>
              </w:rPr>
              <w:t>E</w:t>
            </w:r>
            <w:r w:rsidRPr="00925E05">
              <w:rPr>
                <w:rFonts w:ascii="Verdana" w:hAnsi="Verdana"/>
                <w:sz w:val="22"/>
                <w:szCs w:val="22"/>
              </w:rPr>
              <w:t>ntitlement</w:t>
            </w:r>
            <w:r>
              <w:rPr>
                <w:rFonts w:ascii="Verdana" w:hAnsi="Verdana"/>
                <w:sz w:val="22"/>
                <w:szCs w:val="22"/>
              </w:rPr>
              <w:t>s</w:t>
            </w:r>
            <w:r w:rsidRPr="00925E05">
              <w:rPr>
                <w:rFonts w:ascii="Verdana" w:hAnsi="Verdana"/>
                <w:sz w:val="22"/>
                <w:szCs w:val="22"/>
              </w:rPr>
              <w:t xml:space="preserve"> </w:t>
            </w:r>
            <w:r>
              <w:rPr>
                <w:rFonts w:ascii="Verdana" w:hAnsi="Verdana"/>
                <w:sz w:val="22"/>
                <w:szCs w:val="22"/>
              </w:rPr>
              <w:t>P</w:t>
            </w:r>
            <w:r w:rsidRPr="00925E05">
              <w:rPr>
                <w:rFonts w:ascii="Verdana" w:hAnsi="Verdana"/>
                <w:sz w:val="22"/>
                <w:szCs w:val="22"/>
              </w:rPr>
              <w:t xml:space="preserve">rocedure helps to demonstrate </w:t>
            </w:r>
            <w:r>
              <w:rPr>
                <w:rFonts w:ascii="Verdana" w:hAnsi="Verdana"/>
                <w:sz w:val="22"/>
                <w:szCs w:val="22"/>
              </w:rPr>
              <w:t>our</w:t>
            </w:r>
            <w:r w:rsidRPr="00925E05">
              <w:rPr>
                <w:rFonts w:ascii="Verdana" w:hAnsi="Verdana"/>
                <w:sz w:val="22"/>
                <w:szCs w:val="22"/>
              </w:rPr>
              <w:t xml:space="preserve"> commitment and support to employees and being an attractive, family friendly employer. The Service offers enhanced benefits, by going over and above statutory entitlements, and includes offering the same enhanced pay for shared parental leave, therefore encouraging individuals to share childcare more equally</w:t>
            </w:r>
          </w:p>
          <w:p w14:paraId="34F868EB" w14:textId="77777777" w:rsidR="001672D6" w:rsidRPr="002F2C17" w:rsidRDefault="001672D6" w:rsidP="001672D6">
            <w:pPr>
              <w:pStyle w:val="ListParagraph"/>
              <w:numPr>
                <w:ilvl w:val="0"/>
                <w:numId w:val="10"/>
              </w:numPr>
              <w:spacing w:line="276" w:lineRule="auto"/>
              <w:rPr>
                <w:rFonts w:ascii="Verdana" w:hAnsi="Verdana"/>
                <w:color w:val="FF0000"/>
                <w:sz w:val="22"/>
                <w:szCs w:val="22"/>
              </w:rPr>
            </w:pPr>
            <w:r w:rsidRPr="002F2C17">
              <w:rPr>
                <w:rFonts w:ascii="Verdana" w:hAnsi="Verdana"/>
                <w:sz w:val="22"/>
                <w:szCs w:val="22"/>
              </w:rPr>
              <w:t xml:space="preserve">The Service recognises family friendly and flexible working practices are good, as they help to attract and retain valuable talent and skills from a wider and more diverse talent pool. In 2022 the updated Flexible Working </w:t>
            </w:r>
            <w:r>
              <w:rPr>
                <w:rFonts w:ascii="Verdana" w:hAnsi="Verdana"/>
                <w:sz w:val="22"/>
                <w:szCs w:val="22"/>
              </w:rPr>
              <w:t>P</w:t>
            </w:r>
            <w:r w:rsidRPr="002F2C17">
              <w:rPr>
                <w:rFonts w:ascii="Verdana" w:hAnsi="Verdana"/>
                <w:sz w:val="22"/>
                <w:szCs w:val="22"/>
              </w:rPr>
              <w:t xml:space="preserve">rocedure was published. A positive step within the updated </w:t>
            </w:r>
            <w:r>
              <w:rPr>
                <w:rFonts w:ascii="Verdana" w:hAnsi="Verdana"/>
                <w:sz w:val="22"/>
                <w:szCs w:val="22"/>
              </w:rPr>
              <w:t>P</w:t>
            </w:r>
            <w:r w:rsidRPr="002F2C17">
              <w:rPr>
                <w:rFonts w:ascii="Verdana" w:hAnsi="Verdana"/>
                <w:sz w:val="22"/>
                <w:szCs w:val="22"/>
              </w:rPr>
              <w:t xml:space="preserve">rocedure is that flexible working can be requested from day one of employment, rather than once an employee has attained 26 weeks employment. This is ahead of the Government’s intention to make flexible working a day one right, which is being delivered through secondary legislation during 2023. This demonstrates the Service’s commitment to harnessing the benefits of flexible working and assisting employees to maintain an effective balance between their work and home life </w:t>
            </w:r>
          </w:p>
          <w:p w14:paraId="38DDE067" w14:textId="77777777" w:rsidR="001672D6" w:rsidRPr="002F2C17" w:rsidRDefault="001672D6" w:rsidP="001672D6">
            <w:pPr>
              <w:pStyle w:val="ListParagraph"/>
              <w:numPr>
                <w:ilvl w:val="0"/>
                <w:numId w:val="10"/>
              </w:numPr>
              <w:spacing w:line="276" w:lineRule="auto"/>
              <w:rPr>
                <w:rFonts w:ascii="Verdana" w:hAnsi="Verdana"/>
              </w:rPr>
            </w:pPr>
            <w:r w:rsidRPr="002F2C17">
              <w:rPr>
                <w:rFonts w:ascii="Verdana" w:hAnsi="Verdana"/>
                <w:sz w:val="22"/>
                <w:szCs w:val="22"/>
              </w:rPr>
              <w:t xml:space="preserve">Following the coronavirus (Covid-19) pandemic and as restrictions </w:t>
            </w:r>
            <w:r>
              <w:rPr>
                <w:rFonts w:ascii="Verdana" w:hAnsi="Verdana"/>
                <w:sz w:val="22"/>
                <w:szCs w:val="22"/>
              </w:rPr>
              <w:t>eased</w:t>
            </w:r>
            <w:r w:rsidRPr="002F2C17">
              <w:rPr>
                <w:rFonts w:ascii="Verdana" w:hAnsi="Verdana"/>
                <w:sz w:val="22"/>
                <w:szCs w:val="22"/>
              </w:rPr>
              <w:t>, many employees opted to continue work</w:t>
            </w:r>
            <w:r>
              <w:rPr>
                <w:rFonts w:ascii="Verdana" w:hAnsi="Verdana"/>
                <w:sz w:val="22"/>
                <w:szCs w:val="22"/>
              </w:rPr>
              <w:t>ing</w:t>
            </w:r>
            <w:r w:rsidRPr="002F2C17">
              <w:rPr>
                <w:rFonts w:ascii="Verdana" w:hAnsi="Verdana"/>
                <w:sz w:val="22"/>
                <w:szCs w:val="22"/>
              </w:rPr>
              <w:t xml:space="preserve"> more flexibly in terms of hours or days they work and where they work. The Service is committed with continuing to harness the benefits of flexible working arrangements and adopting a flexible approach to an employee’s work location where practicable. During 2022, a Hybrid Working </w:t>
            </w:r>
            <w:r>
              <w:rPr>
                <w:rFonts w:ascii="Verdana" w:hAnsi="Verdana"/>
                <w:sz w:val="22"/>
                <w:szCs w:val="22"/>
              </w:rPr>
              <w:t>G</w:t>
            </w:r>
            <w:r w:rsidRPr="002F2C17">
              <w:rPr>
                <w:rFonts w:ascii="Verdana" w:hAnsi="Verdana"/>
                <w:sz w:val="22"/>
                <w:szCs w:val="22"/>
              </w:rPr>
              <w:t xml:space="preserve">uidance </w:t>
            </w:r>
            <w:r>
              <w:rPr>
                <w:rFonts w:ascii="Verdana" w:hAnsi="Verdana"/>
                <w:sz w:val="22"/>
                <w:szCs w:val="22"/>
              </w:rPr>
              <w:t>N</w:t>
            </w:r>
            <w:r w:rsidRPr="002F2C17">
              <w:rPr>
                <w:rFonts w:ascii="Verdana" w:hAnsi="Verdana"/>
                <w:sz w:val="22"/>
                <w:szCs w:val="22"/>
              </w:rPr>
              <w:t xml:space="preserve">ote was published, which sets out key requirements and considerations to enable employees to undertake hybrid working </w:t>
            </w:r>
          </w:p>
          <w:p w14:paraId="32F6B1E0" w14:textId="77777777" w:rsidR="001672D6" w:rsidRPr="00820AEF" w:rsidRDefault="001672D6" w:rsidP="001672D6">
            <w:pPr>
              <w:pStyle w:val="ListParagraph"/>
              <w:numPr>
                <w:ilvl w:val="0"/>
                <w:numId w:val="10"/>
              </w:numPr>
              <w:spacing w:line="276" w:lineRule="auto"/>
              <w:rPr>
                <w:rFonts w:ascii="Verdana" w:hAnsi="Verdana"/>
                <w:sz w:val="22"/>
                <w:szCs w:val="22"/>
              </w:rPr>
            </w:pPr>
            <w:r w:rsidRPr="00820AEF">
              <w:rPr>
                <w:rFonts w:ascii="Verdana" w:hAnsi="Verdana"/>
                <w:sz w:val="22"/>
                <w:szCs w:val="22"/>
              </w:rPr>
              <w:t xml:space="preserve">The Service </w:t>
            </w:r>
            <w:r>
              <w:rPr>
                <w:rFonts w:ascii="Verdana" w:hAnsi="Verdana"/>
                <w:sz w:val="22"/>
                <w:szCs w:val="22"/>
              </w:rPr>
              <w:t>a</w:t>
            </w:r>
            <w:r w:rsidRPr="00820AEF">
              <w:rPr>
                <w:rFonts w:ascii="Verdana" w:hAnsi="Verdana"/>
                <w:sz w:val="22"/>
                <w:szCs w:val="22"/>
              </w:rPr>
              <w:t>ctively encourage</w:t>
            </w:r>
            <w:r>
              <w:rPr>
                <w:rFonts w:ascii="Verdana" w:hAnsi="Verdana"/>
                <w:sz w:val="22"/>
                <w:szCs w:val="22"/>
              </w:rPr>
              <w:t>s</w:t>
            </w:r>
            <w:r w:rsidRPr="00820AEF">
              <w:rPr>
                <w:rFonts w:ascii="Verdana" w:hAnsi="Verdana"/>
                <w:sz w:val="22"/>
                <w:szCs w:val="22"/>
              </w:rPr>
              <w:t xml:space="preserve"> employees to consider using flexible working arrangements where appropriate.</w:t>
            </w:r>
            <w:r>
              <w:rPr>
                <w:rFonts w:ascii="Verdana" w:hAnsi="Verdana"/>
                <w:sz w:val="22"/>
                <w:szCs w:val="22"/>
              </w:rPr>
              <w:t xml:space="preserve"> </w:t>
            </w:r>
            <w:r w:rsidRPr="00820AEF">
              <w:rPr>
                <w:rFonts w:ascii="Verdana" w:hAnsi="Verdana"/>
                <w:sz w:val="22"/>
                <w:szCs w:val="22"/>
              </w:rPr>
              <w:t xml:space="preserve">We appreciate that </w:t>
            </w:r>
            <w:r>
              <w:rPr>
                <w:rFonts w:ascii="Verdana" w:hAnsi="Verdana"/>
                <w:sz w:val="22"/>
                <w:szCs w:val="22"/>
              </w:rPr>
              <w:t xml:space="preserve">having </w:t>
            </w:r>
            <w:r w:rsidRPr="00820AEF">
              <w:rPr>
                <w:rFonts w:ascii="Verdana" w:hAnsi="Verdana"/>
                <w:sz w:val="22"/>
                <w:szCs w:val="22"/>
              </w:rPr>
              <w:t xml:space="preserve">a better work-life balance and by promoting flexible working options, the Service can support inclusion, improve employee motivation, </w:t>
            </w:r>
            <w:proofErr w:type="gramStart"/>
            <w:r w:rsidRPr="00820AEF">
              <w:rPr>
                <w:rFonts w:ascii="Verdana" w:hAnsi="Verdana"/>
                <w:sz w:val="22"/>
                <w:szCs w:val="22"/>
              </w:rPr>
              <w:t>performance</w:t>
            </w:r>
            <w:proofErr w:type="gramEnd"/>
            <w:r w:rsidRPr="00820AEF">
              <w:rPr>
                <w:rFonts w:ascii="Verdana" w:hAnsi="Verdana"/>
                <w:sz w:val="22"/>
                <w:szCs w:val="22"/>
              </w:rPr>
              <w:t xml:space="preserve"> and productivity</w:t>
            </w:r>
            <w:r>
              <w:rPr>
                <w:rFonts w:ascii="Verdana" w:hAnsi="Verdana"/>
                <w:sz w:val="22"/>
                <w:szCs w:val="22"/>
              </w:rPr>
              <w:t>,</w:t>
            </w:r>
            <w:r w:rsidRPr="00820AEF">
              <w:rPr>
                <w:rFonts w:ascii="Verdana" w:hAnsi="Verdana"/>
                <w:sz w:val="22"/>
                <w:szCs w:val="22"/>
              </w:rPr>
              <w:t xml:space="preserve"> thereby improv</w:t>
            </w:r>
            <w:r>
              <w:rPr>
                <w:rFonts w:ascii="Verdana" w:hAnsi="Verdana"/>
                <w:sz w:val="22"/>
                <w:szCs w:val="22"/>
              </w:rPr>
              <w:t>ing</w:t>
            </w:r>
            <w:r w:rsidRPr="00820AEF">
              <w:rPr>
                <w:rFonts w:ascii="Verdana" w:hAnsi="Verdana"/>
                <w:sz w:val="22"/>
                <w:szCs w:val="22"/>
              </w:rPr>
              <w:t xml:space="preserve"> employee wellbeing</w:t>
            </w:r>
            <w:r>
              <w:rPr>
                <w:rFonts w:ascii="Verdana" w:hAnsi="Verdana"/>
                <w:sz w:val="22"/>
                <w:szCs w:val="22"/>
              </w:rPr>
              <w:t xml:space="preserve">. In addition, we </w:t>
            </w:r>
            <w:r w:rsidRPr="00820AEF">
              <w:rPr>
                <w:rFonts w:ascii="Verdana" w:hAnsi="Verdana"/>
                <w:sz w:val="22"/>
                <w:szCs w:val="22"/>
              </w:rPr>
              <w:t>will attract and retain a diverse workforce of talented individuals</w:t>
            </w:r>
            <w:r>
              <w:rPr>
                <w:rFonts w:ascii="Verdana" w:hAnsi="Verdana"/>
                <w:sz w:val="22"/>
                <w:szCs w:val="22"/>
              </w:rPr>
              <w:t>, t</w:t>
            </w:r>
            <w:r w:rsidRPr="00820AEF">
              <w:rPr>
                <w:rFonts w:ascii="Verdana" w:hAnsi="Verdana"/>
                <w:sz w:val="22"/>
                <w:szCs w:val="22"/>
              </w:rPr>
              <w:t>hereby helping to reduce the gender pay gap</w:t>
            </w:r>
          </w:p>
          <w:p w14:paraId="3D12ABC7" w14:textId="588E448D" w:rsidR="001672D6" w:rsidRPr="00661B04" w:rsidRDefault="001672D6" w:rsidP="001672D6">
            <w:pPr>
              <w:pStyle w:val="ListParagraph"/>
              <w:numPr>
                <w:ilvl w:val="0"/>
                <w:numId w:val="10"/>
              </w:numPr>
              <w:spacing w:line="276" w:lineRule="auto"/>
              <w:rPr>
                <w:rFonts w:ascii="Verdana" w:eastAsia="Times New Roman" w:hAnsi="Verdana"/>
                <w:sz w:val="22"/>
                <w:szCs w:val="22"/>
                <w:lang w:eastAsia="en-GB"/>
              </w:rPr>
            </w:pPr>
            <w:r w:rsidRPr="00661B04">
              <w:rPr>
                <w:rFonts w:ascii="Verdana" w:hAnsi="Verdana"/>
                <w:sz w:val="22"/>
                <w:szCs w:val="22"/>
              </w:rPr>
              <w:t xml:space="preserve">Structured groups have been created to drive forward equality initiatives, such as the EDI group, which includes managers, </w:t>
            </w:r>
            <w:proofErr w:type="gramStart"/>
            <w:r w:rsidRPr="00661B04">
              <w:rPr>
                <w:rFonts w:ascii="Verdana" w:hAnsi="Verdana"/>
                <w:sz w:val="22"/>
                <w:szCs w:val="22"/>
              </w:rPr>
              <w:t>employees</w:t>
            </w:r>
            <w:proofErr w:type="gramEnd"/>
            <w:r>
              <w:rPr>
                <w:rFonts w:ascii="Verdana" w:hAnsi="Verdana"/>
                <w:sz w:val="22"/>
                <w:szCs w:val="22"/>
              </w:rPr>
              <w:t xml:space="preserve"> and </w:t>
            </w:r>
            <w:r w:rsidRPr="00661B04">
              <w:rPr>
                <w:rFonts w:ascii="Verdana" w:hAnsi="Verdana"/>
                <w:sz w:val="22"/>
                <w:szCs w:val="22"/>
              </w:rPr>
              <w:t xml:space="preserve">trade union </w:t>
            </w:r>
            <w:r w:rsidR="00306537">
              <w:rPr>
                <w:rFonts w:ascii="Verdana" w:hAnsi="Verdana"/>
                <w:sz w:val="22"/>
                <w:szCs w:val="22"/>
              </w:rPr>
              <w:t xml:space="preserve">representatives </w:t>
            </w:r>
            <w:r>
              <w:rPr>
                <w:rFonts w:ascii="Verdana" w:hAnsi="Verdana"/>
                <w:sz w:val="22"/>
                <w:szCs w:val="22"/>
              </w:rPr>
              <w:t xml:space="preserve">from across the </w:t>
            </w:r>
            <w:proofErr w:type="spellStart"/>
            <w:r>
              <w:rPr>
                <w:rFonts w:ascii="Verdana" w:hAnsi="Verdana"/>
                <w:sz w:val="22"/>
                <w:szCs w:val="22"/>
              </w:rPr>
              <w:t>organisation</w:t>
            </w:r>
            <w:proofErr w:type="spellEnd"/>
            <w:r w:rsidRPr="00661B04">
              <w:rPr>
                <w:rFonts w:ascii="Verdana" w:hAnsi="Verdana"/>
                <w:sz w:val="22"/>
                <w:szCs w:val="22"/>
              </w:rPr>
              <w:t xml:space="preserve">. The group supports and promotes inclusion and </w:t>
            </w:r>
            <w:r w:rsidRPr="00661B04">
              <w:rPr>
                <w:rFonts w:ascii="Verdana" w:hAnsi="Verdana"/>
                <w:sz w:val="22"/>
                <w:szCs w:val="22"/>
              </w:rPr>
              <w:lastRenderedPageBreak/>
              <w:t>engagement and increases dialogue about topical issues. The</w:t>
            </w:r>
            <w:r>
              <w:rPr>
                <w:rFonts w:ascii="Verdana" w:hAnsi="Verdana"/>
                <w:sz w:val="22"/>
                <w:szCs w:val="22"/>
              </w:rPr>
              <w:t xml:space="preserve"> group </w:t>
            </w:r>
            <w:r w:rsidRPr="00661B04">
              <w:rPr>
                <w:rFonts w:ascii="Verdana" w:hAnsi="Verdana"/>
                <w:sz w:val="22"/>
                <w:szCs w:val="22"/>
              </w:rPr>
              <w:t xml:space="preserve">review progress against the Service’s EDI objectives which are reported to the Fire Authority. In </w:t>
            </w:r>
            <w:r>
              <w:rPr>
                <w:rFonts w:ascii="Verdana" w:hAnsi="Verdana"/>
                <w:sz w:val="22"/>
                <w:szCs w:val="22"/>
              </w:rPr>
              <w:t xml:space="preserve">June </w:t>
            </w:r>
            <w:r w:rsidRPr="00661B04">
              <w:rPr>
                <w:rFonts w:ascii="Verdana" w:hAnsi="Verdana"/>
                <w:sz w:val="22"/>
                <w:szCs w:val="22"/>
              </w:rPr>
              <w:t>202</w:t>
            </w:r>
            <w:r>
              <w:rPr>
                <w:rFonts w:ascii="Verdana" w:hAnsi="Verdana"/>
                <w:sz w:val="22"/>
                <w:szCs w:val="22"/>
              </w:rPr>
              <w:t>2</w:t>
            </w:r>
            <w:r w:rsidRPr="00661B04">
              <w:rPr>
                <w:rFonts w:ascii="Verdana" w:hAnsi="Verdana"/>
                <w:sz w:val="22"/>
                <w:szCs w:val="22"/>
              </w:rPr>
              <w:t xml:space="preserve"> </w:t>
            </w:r>
            <w:r>
              <w:rPr>
                <w:rFonts w:ascii="Verdana" w:hAnsi="Verdana"/>
                <w:sz w:val="22"/>
                <w:szCs w:val="22"/>
              </w:rPr>
              <w:t>an</w:t>
            </w:r>
            <w:r w:rsidRPr="00661B04">
              <w:rPr>
                <w:rFonts w:ascii="Verdana" w:hAnsi="Verdana"/>
                <w:sz w:val="22"/>
                <w:szCs w:val="22"/>
              </w:rPr>
              <w:t xml:space="preserve"> EDI </w:t>
            </w:r>
            <w:r>
              <w:rPr>
                <w:rFonts w:ascii="Verdana" w:hAnsi="Verdana"/>
                <w:sz w:val="22"/>
                <w:szCs w:val="22"/>
              </w:rPr>
              <w:t>Year Two update report was presented to the Fire Authority, along with progress to date and EDI workforce data</w:t>
            </w:r>
          </w:p>
          <w:p w14:paraId="1054BD20" w14:textId="77777777" w:rsidR="001672D6" w:rsidRPr="00A97A9A" w:rsidRDefault="001672D6" w:rsidP="001672D6">
            <w:pPr>
              <w:pStyle w:val="ListParagraph"/>
              <w:numPr>
                <w:ilvl w:val="0"/>
                <w:numId w:val="10"/>
              </w:numPr>
              <w:spacing w:line="276" w:lineRule="auto"/>
              <w:rPr>
                <w:rFonts w:ascii="Verdana" w:eastAsia="Times New Roman" w:hAnsi="Verdana"/>
                <w:sz w:val="22"/>
                <w:szCs w:val="22"/>
                <w:lang w:eastAsia="en-GB"/>
              </w:rPr>
            </w:pPr>
            <w:r w:rsidRPr="007321C1">
              <w:rPr>
                <w:rFonts w:ascii="Verdana" w:hAnsi="Verdana"/>
                <w:sz w:val="22"/>
                <w:szCs w:val="22"/>
              </w:rPr>
              <w:t>An equal pay audit is the most effective way of checking the Service is complying with its statutory equal pay obligations and ensuring we deliver a pay system free from gender bias. During 2020 an audit was undertaken which confirmed the Service is achieving equitable pay between gender</w:t>
            </w:r>
            <w:r>
              <w:rPr>
                <w:rFonts w:ascii="Verdana" w:hAnsi="Verdana"/>
                <w:sz w:val="22"/>
                <w:szCs w:val="22"/>
              </w:rPr>
              <w:t>s</w:t>
            </w:r>
          </w:p>
          <w:p w14:paraId="1DE82136" w14:textId="77777777" w:rsidR="001672D6" w:rsidRPr="001662E6" w:rsidRDefault="001672D6" w:rsidP="001672D6">
            <w:pPr>
              <w:pStyle w:val="ListParagraph"/>
              <w:numPr>
                <w:ilvl w:val="0"/>
                <w:numId w:val="10"/>
              </w:numPr>
              <w:spacing w:line="276" w:lineRule="auto"/>
              <w:rPr>
                <w:rFonts w:ascii="Verdana" w:eastAsia="Times New Roman" w:hAnsi="Verdana"/>
                <w:sz w:val="22"/>
                <w:szCs w:val="22"/>
                <w:lang w:eastAsia="en-GB"/>
              </w:rPr>
            </w:pPr>
            <w:r>
              <w:rPr>
                <w:rFonts w:ascii="Verdana" w:hAnsi="Verdana"/>
                <w:sz w:val="22"/>
                <w:szCs w:val="22"/>
                <w:lang w:eastAsia="en-GB"/>
              </w:rPr>
              <w:t>An external benchmarking exercise was carried out using the Employers Network for Equality and Inclusion (</w:t>
            </w:r>
            <w:proofErr w:type="spellStart"/>
            <w:r>
              <w:rPr>
                <w:rFonts w:ascii="Verdana" w:hAnsi="Verdana"/>
                <w:sz w:val="22"/>
                <w:szCs w:val="22"/>
                <w:lang w:eastAsia="en-GB"/>
              </w:rPr>
              <w:t>enei</w:t>
            </w:r>
            <w:proofErr w:type="spellEnd"/>
            <w:r>
              <w:rPr>
                <w:rFonts w:ascii="Verdana" w:hAnsi="Verdana"/>
                <w:sz w:val="22"/>
                <w:szCs w:val="22"/>
                <w:lang w:eastAsia="en-GB"/>
              </w:rPr>
              <w:t xml:space="preserve">) Talent Inclusion and Diversity Evaluation (TIDE) self-assessment evaluation and benchmarking tool, and in 2022 the bronze award has been maintained for the third year running </w:t>
            </w:r>
          </w:p>
          <w:p w14:paraId="6D4ECB03" w14:textId="77777777" w:rsidR="001672D6" w:rsidRPr="006164B0" w:rsidRDefault="001672D6" w:rsidP="001672D6">
            <w:pPr>
              <w:pStyle w:val="ListParagraph"/>
              <w:numPr>
                <w:ilvl w:val="0"/>
                <w:numId w:val="10"/>
              </w:numPr>
              <w:spacing w:line="276" w:lineRule="auto"/>
              <w:rPr>
                <w:rFonts w:ascii="Verdana" w:hAnsi="Verdana"/>
                <w:sz w:val="22"/>
                <w:szCs w:val="22"/>
              </w:rPr>
            </w:pPr>
            <w:r w:rsidRPr="006164B0">
              <w:rPr>
                <w:rFonts w:ascii="Verdana" w:hAnsi="Verdana"/>
                <w:sz w:val="22"/>
                <w:szCs w:val="22"/>
              </w:rPr>
              <w:t>We continue to strive for an inclusive culture, helping to ensure employees will want to remain with us and progress through the Service. Following the 2022 Culture Survey, the feedback loop was developed to ensure we listen</w:t>
            </w:r>
            <w:r>
              <w:t xml:space="preserve"> </w:t>
            </w:r>
            <w:r w:rsidRPr="006164B0">
              <w:rPr>
                <w:rFonts w:ascii="Verdana" w:hAnsi="Verdana"/>
                <w:sz w:val="22"/>
                <w:szCs w:val="22"/>
              </w:rPr>
              <w:t xml:space="preserve">to feedback, create the opportunity to share ideas, </w:t>
            </w:r>
            <w:proofErr w:type="gramStart"/>
            <w:r w:rsidRPr="006164B0">
              <w:rPr>
                <w:rFonts w:ascii="Verdana" w:hAnsi="Verdana"/>
                <w:sz w:val="22"/>
                <w:szCs w:val="22"/>
              </w:rPr>
              <w:t>review</w:t>
            </w:r>
            <w:proofErr w:type="gramEnd"/>
            <w:r w:rsidRPr="006164B0">
              <w:rPr>
                <w:rFonts w:ascii="Verdana" w:hAnsi="Verdana"/>
                <w:sz w:val="22"/>
                <w:szCs w:val="22"/>
              </w:rPr>
              <w:t xml:space="preserve"> and feedback on those ideas, and celebrate our successes. Part of the feedback loop included listening workshops, which all employees were invited to attend, and alongside these sessions the Chief Fire Officer/CE went out to meet employees to understand some more context around the results and to help gather ideas. These informal chats were seen as a great opportunity for employees to share their thoughts on the Culture Survey results and for the working group, made up of employees from across the Service, to gather some context around some of the answers, therefore helping to give a full picture of the culture within the Service and ensure we target efforts on high impact areas </w:t>
            </w:r>
          </w:p>
          <w:p w14:paraId="610B8187" w14:textId="77777777" w:rsidR="001672D6" w:rsidRPr="00F21C89" w:rsidRDefault="001672D6" w:rsidP="001672D6">
            <w:pPr>
              <w:pStyle w:val="ListParagraph"/>
              <w:numPr>
                <w:ilvl w:val="0"/>
                <w:numId w:val="10"/>
              </w:numPr>
              <w:spacing w:line="276" w:lineRule="auto"/>
              <w:rPr>
                <w:rFonts w:ascii="Verdana" w:hAnsi="Verdana"/>
                <w:b/>
                <w:sz w:val="22"/>
                <w:szCs w:val="22"/>
              </w:rPr>
            </w:pPr>
            <w:r w:rsidRPr="00F21C89">
              <w:rPr>
                <w:rFonts w:ascii="Verdana" w:hAnsi="Verdana"/>
                <w:sz w:val="22"/>
                <w:szCs w:val="22"/>
                <w:lang w:eastAsia="en-GB"/>
              </w:rPr>
              <w:t xml:space="preserve">To ensure respect across the gender spectrum, employees </w:t>
            </w:r>
            <w:proofErr w:type="gramStart"/>
            <w:r w:rsidRPr="00F21C89">
              <w:rPr>
                <w:rFonts w:ascii="Verdana" w:hAnsi="Verdana"/>
                <w:sz w:val="22"/>
                <w:szCs w:val="22"/>
                <w:lang w:eastAsia="en-GB"/>
              </w:rPr>
              <w:t>are able to</w:t>
            </w:r>
            <w:proofErr w:type="gramEnd"/>
            <w:r w:rsidRPr="00F21C89">
              <w:rPr>
                <w:rFonts w:ascii="Verdana" w:hAnsi="Verdana"/>
                <w:sz w:val="22"/>
                <w:szCs w:val="22"/>
                <w:lang w:eastAsia="en-GB"/>
              </w:rPr>
              <w:t xml:space="preserve"> have their email signature edited to include their pronoun. Using correct gender pronouns is one of the most basic ways to show our respect for an individual’s identity</w:t>
            </w:r>
          </w:p>
          <w:p w14:paraId="1174FBDA" w14:textId="77777777" w:rsidR="001672D6" w:rsidRPr="006B0A00" w:rsidRDefault="001672D6" w:rsidP="001672D6">
            <w:pPr>
              <w:pStyle w:val="ListParagraph"/>
              <w:numPr>
                <w:ilvl w:val="0"/>
                <w:numId w:val="10"/>
              </w:numPr>
              <w:spacing w:line="276" w:lineRule="auto"/>
              <w:rPr>
                <w:rFonts w:ascii="Verdana" w:hAnsi="Verdana"/>
                <w:b/>
                <w:sz w:val="22"/>
                <w:szCs w:val="22"/>
              </w:rPr>
            </w:pPr>
            <w:r w:rsidRPr="00925E05">
              <w:rPr>
                <w:rFonts w:ascii="Verdana" w:hAnsi="Verdana"/>
                <w:sz w:val="22"/>
                <w:szCs w:val="22"/>
              </w:rPr>
              <w:t xml:space="preserve">We continue to make greater and more targeted use of social media to </w:t>
            </w:r>
            <w:r>
              <w:rPr>
                <w:rFonts w:ascii="Verdana" w:hAnsi="Verdana"/>
                <w:sz w:val="22"/>
                <w:szCs w:val="22"/>
              </w:rPr>
              <w:t xml:space="preserve">effectively promote </w:t>
            </w:r>
            <w:r w:rsidRPr="00925E05">
              <w:rPr>
                <w:rFonts w:ascii="Verdana" w:hAnsi="Verdana"/>
                <w:sz w:val="22"/>
                <w:szCs w:val="22"/>
              </w:rPr>
              <w:t xml:space="preserve">the positive work of the Service and of our recruitment campaigns </w:t>
            </w:r>
          </w:p>
          <w:p w14:paraId="4FEEA293" w14:textId="77777777" w:rsidR="001672D6" w:rsidRPr="006164B0" w:rsidRDefault="001672D6" w:rsidP="001672D6">
            <w:pPr>
              <w:pStyle w:val="ListParagraph"/>
              <w:numPr>
                <w:ilvl w:val="0"/>
                <w:numId w:val="10"/>
              </w:numPr>
              <w:spacing w:line="276" w:lineRule="auto"/>
              <w:rPr>
                <w:rFonts w:ascii="Verdana" w:hAnsi="Verdana"/>
              </w:rPr>
            </w:pPr>
            <w:r w:rsidRPr="006B0A00">
              <w:rPr>
                <w:rFonts w:ascii="Verdana" w:hAnsi="Verdana"/>
                <w:sz w:val="22"/>
                <w:szCs w:val="22"/>
              </w:rPr>
              <w:t xml:space="preserve">The Service’s People Strategy 2020 to 2025 was updated and published following approval by the Fire Authority in October </w:t>
            </w:r>
            <w:r w:rsidRPr="006164B0">
              <w:rPr>
                <w:rFonts w:ascii="Verdana" w:hAnsi="Verdana"/>
                <w:sz w:val="22"/>
                <w:szCs w:val="22"/>
              </w:rPr>
              <w:t>2020. The People Strategy provides the framework for engaging and developing employees to enable the cultural changes, which will help the Service better deliver its vision and strategic priorities, whilst ensuring behaviours, values and standards are adhered to</w:t>
            </w:r>
          </w:p>
          <w:p w14:paraId="10DFCD14" w14:textId="77777777" w:rsidR="001672D6" w:rsidRPr="006164B0" w:rsidRDefault="001672D6" w:rsidP="001672D6">
            <w:pPr>
              <w:pStyle w:val="ListParagraph"/>
              <w:numPr>
                <w:ilvl w:val="0"/>
                <w:numId w:val="10"/>
              </w:numPr>
              <w:spacing w:line="276" w:lineRule="auto"/>
              <w:rPr>
                <w:rFonts w:ascii="Verdana" w:hAnsi="Verdana"/>
                <w:color w:val="FF0000"/>
                <w:sz w:val="22"/>
                <w:szCs w:val="22"/>
              </w:rPr>
            </w:pPr>
            <w:r w:rsidRPr="006164B0">
              <w:rPr>
                <w:rFonts w:ascii="Verdana" w:hAnsi="Verdana"/>
                <w:sz w:val="22"/>
                <w:szCs w:val="22"/>
              </w:rPr>
              <w:t xml:space="preserve">The October 2021 Fire Authority approved the People Strategy Employee Engagement plan to carry out a series of face-to-face workshops across the Service, to raise awareness of the five key themes within the People Strategy, encourage engagement and ensure employees are made aware of how their work contributes and supports the five key areas. Between November </w:t>
            </w:r>
            <w:r w:rsidRPr="006164B0">
              <w:rPr>
                <w:rFonts w:ascii="Verdana" w:hAnsi="Verdana"/>
                <w:sz w:val="22"/>
                <w:szCs w:val="22"/>
              </w:rPr>
              <w:lastRenderedPageBreak/>
              <w:t xml:space="preserve">2021 and April 2022 face-to-face workshops were undertaken for </w:t>
            </w:r>
            <w:proofErr w:type="spellStart"/>
            <w:r w:rsidRPr="006164B0">
              <w:rPr>
                <w:rFonts w:ascii="Verdana" w:hAnsi="Verdana"/>
                <w:sz w:val="22"/>
                <w:szCs w:val="22"/>
              </w:rPr>
              <w:t>Wholetime</w:t>
            </w:r>
            <w:proofErr w:type="spellEnd"/>
            <w:r w:rsidRPr="006164B0">
              <w:rPr>
                <w:rFonts w:ascii="Verdana" w:hAnsi="Verdana"/>
                <w:sz w:val="22"/>
                <w:szCs w:val="22"/>
              </w:rPr>
              <w:t xml:space="preserve"> employees and for Support Services employees and On-Call employees there was a combination of virtual and face-to-face workshops</w:t>
            </w:r>
          </w:p>
          <w:p w14:paraId="74CB2C6A" w14:textId="77777777" w:rsidR="001672D6" w:rsidRPr="00AB4DB4" w:rsidRDefault="001672D6" w:rsidP="001672D6">
            <w:pPr>
              <w:pStyle w:val="ListParagraph"/>
              <w:numPr>
                <w:ilvl w:val="0"/>
                <w:numId w:val="10"/>
              </w:numPr>
              <w:spacing w:line="276" w:lineRule="auto"/>
              <w:rPr>
                <w:rFonts w:ascii="Verdana" w:hAnsi="Verdana"/>
                <w:b/>
                <w:sz w:val="22"/>
                <w:szCs w:val="22"/>
              </w:rPr>
            </w:pPr>
            <w:r w:rsidRPr="00925E05">
              <w:rPr>
                <w:rFonts w:ascii="Verdana" w:hAnsi="Verdana"/>
                <w:sz w:val="22"/>
                <w:szCs w:val="22"/>
              </w:rPr>
              <w:t xml:space="preserve">We will continue to collaborate with other Fire Services and will increasingly collaborate with </w:t>
            </w:r>
            <w:proofErr w:type="spellStart"/>
            <w:r w:rsidRPr="00925E05">
              <w:rPr>
                <w:rFonts w:ascii="Verdana" w:hAnsi="Verdana"/>
                <w:sz w:val="22"/>
                <w:szCs w:val="22"/>
              </w:rPr>
              <w:t>organisations</w:t>
            </w:r>
            <w:proofErr w:type="spellEnd"/>
            <w:r w:rsidRPr="00925E05">
              <w:rPr>
                <w:rFonts w:ascii="Verdana" w:hAnsi="Verdana"/>
                <w:sz w:val="22"/>
                <w:szCs w:val="22"/>
              </w:rPr>
              <w:t xml:space="preserve"> who are </w:t>
            </w:r>
            <w:proofErr w:type="gramStart"/>
            <w:r w:rsidRPr="00925E05">
              <w:rPr>
                <w:rFonts w:ascii="Verdana" w:hAnsi="Verdana"/>
                <w:sz w:val="22"/>
                <w:szCs w:val="22"/>
              </w:rPr>
              <w:t>in a position</w:t>
            </w:r>
            <w:proofErr w:type="gramEnd"/>
            <w:r w:rsidRPr="00925E05">
              <w:rPr>
                <w:rFonts w:ascii="Verdana" w:hAnsi="Verdana"/>
                <w:sz w:val="22"/>
                <w:szCs w:val="22"/>
              </w:rPr>
              <w:t xml:space="preserve"> to help us reach and influence our target audience. In addition, we will collaborate more widely and with those </w:t>
            </w:r>
            <w:proofErr w:type="spellStart"/>
            <w:r w:rsidRPr="00925E05">
              <w:rPr>
                <w:rFonts w:ascii="Verdana" w:hAnsi="Verdana"/>
                <w:sz w:val="22"/>
                <w:szCs w:val="22"/>
              </w:rPr>
              <w:t>organisations</w:t>
            </w:r>
            <w:proofErr w:type="spellEnd"/>
            <w:r w:rsidRPr="00925E05">
              <w:rPr>
                <w:rFonts w:ascii="Verdana" w:hAnsi="Verdana"/>
                <w:sz w:val="22"/>
                <w:szCs w:val="22"/>
              </w:rPr>
              <w:t xml:space="preserve"> who have developed inspiring initiatives and best practice that we may learn from</w:t>
            </w:r>
          </w:p>
          <w:p w14:paraId="3173C888" w14:textId="56C4631F" w:rsidR="001672D6" w:rsidRDefault="001672D6" w:rsidP="001672D6">
            <w:pPr>
              <w:pStyle w:val="ListParagraph"/>
              <w:numPr>
                <w:ilvl w:val="0"/>
                <w:numId w:val="10"/>
              </w:numPr>
              <w:spacing w:line="276" w:lineRule="auto"/>
              <w:rPr>
                <w:rFonts w:ascii="Verdana" w:hAnsi="Verdana"/>
                <w:sz w:val="22"/>
                <w:szCs w:val="22"/>
              </w:rPr>
            </w:pPr>
            <w:r w:rsidRPr="00005F78">
              <w:rPr>
                <w:rFonts w:ascii="Verdana" w:hAnsi="Verdana"/>
                <w:sz w:val="22"/>
                <w:szCs w:val="22"/>
              </w:rPr>
              <w:t xml:space="preserve">The Service signed the Armed Forces Covenant to promise to actively support the armed forces community and </w:t>
            </w:r>
            <w:r>
              <w:rPr>
                <w:rFonts w:ascii="Verdana" w:hAnsi="Verdana"/>
                <w:sz w:val="22"/>
                <w:szCs w:val="22"/>
              </w:rPr>
              <w:t>in July</w:t>
            </w:r>
            <w:r w:rsidRPr="00005F78">
              <w:rPr>
                <w:rFonts w:ascii="Verdana" w:hAnsi="Verdana"/>
                <w:sz w:val="22"/>
                <w:szCs w:val="22"/>
              </w:rPr>
              <w:t xml:space="preserve"> </w:t>
            </w:r>
            <w:r>
              <w:rPr>
                <w:rFonts w:ascii="Verdana" w:hAnsi="Verdana"/>
                <w:sz w:val="22"/>
                <w:szCs w:val="22"/>
              </w:rPr>
              <w:t xml:space="preserve">2022 </w:t>
            </w:r>
            <w:r w:rsidRPr="00005F78">
              <w:rPr>
                <w:rFonts w:ascii="Verdana" w:hAnsi="Verdana"/>
                <w:sz w:val="22"/>
                <w:szCs w:val="22"/>
              </w:rPr>
              <w:t xml:space="preserve">was awarded the Ministry of </w:t>
            </w:r>
            <w:proofErr w:type="spellStart"/>
            <w:r w:rsidRPr="00005F78">
              <w:rPr>
                <w:rFonts w:ascii="Verdana" w:hAnsi="Verdana"/>
                <w:sz w:val="22"/>
                <w:szCs w:val="22"/>
              </w:rPr>
              <w:t>Defence</w:t>
            </w:r>
            <w:proofErr w:type="spellEnd"/>
            <w:r w:rsidRPr="00005F78">
              <w:rPr>
                <w:rFonts w:ascii="Verdana" w:hAnsi="Verdana"/>
                <w:sz w:val="22"/>
                <w:szCs w:val="22"/>
              </w:rPr>
              <w:t xml:space="preserve"> Employer Recognition Scheme </w:t>
            </w:r>
            <w:r>
              <w:rPr>
                <w:rFonts w:ascii="Verdana" w:hAnsi="Verdana"/>
                <w:sz w:val="22"/>
                <w:szCs w:val="22"/>
              </w:rPr>
              <w:t>Gold</w:t>
            </w:r>
            <w:r w:rsidRPr="00005F78">
              <w:rPr>
                <w:rFonts w:ascii="Verdana" w:hAnsi="Verdana"/>
                <w:sz w:val="22"/>
                <w:szCs w:val="22"/>
              </w:rPr>
              <w:t xml:space="preserve"> Award. The covenant acknowledges that we recognise the value serving personnel, reservists, </w:t>
            </w:r>
            <w:proofErr w:type="gramStart"/>
            <w:r w:rsidRPr="00005F78">
              <w:rPr>
                <w:rFonts w:ascii="Verdana" w:hAnsi="Verdana"/>
                <w:sz w:val="22"/>
                <w:szCs w:val="22"/>
              </w:rPr>
              <w:t>veterans</w:t>
            </w:r>
            <w:proofErr w:type="gramEnd"/>
            <w:r w:rsidRPr="00005F78">
              <w:rPr>
                <w:rFonts w:ascii="Verdana" w:hAnsi="Verdana"/>
                <w:sz w:val="22"/>
                <w:szCs w:val="22"/>
              </w:rPr>
              <w:t xml:space="preserve"> and military families can bring to our Service. At the end of 2021 a youth engagement initiative was launched in the local community, where members of the Armed Forces Cadet associations undertake a programme of activities with the aim of helping cadets gain an understanding of what being a firefighter is about and hopefully encouraging a career within the Service</w:t>
            </w:r>
          </w:p>
          <w:p w14:paraId="41E0E425" w14:textId="77777777" w:rsidR="001672D6" w:rsidRPr="00A47D89" w:rsidRDefault="001672D6" w:rsidP="001672D6">
            <w:pPr>
              <w:pStyle w:val="ListParagraph"/>
              <w:numPr>
                <w:ilvl w:val="0"/>
                <w:numId w:val="10"/>
              </w:numPr>
              <w:spacing w:line="276" w:lineRule="auto"/>
              <w:rPr>
                <w:rFonts w:ascii="Verdana" w:hAnsi="Verdana"/>
                <w:sz w:val="22"/>
                <w:szCs w:val="22"/>
              </w:rPr>
            </w:pPr>
            <w:r w:rsidRPr="00A47D89">
              <w:rPr>
                <w:rFonts w:ascii="Verdana" w:hAnsi="Verdana"/>
                <w:sz w:val="22"/>
                <w:szCs w:val="22"/>
              </w:rPr>
              <w:t>Regular systematic and rigorous strategic workforce and succession planning processes are in place, which incorporate current Public Safety Plan requirements and horizon scanning of likely future external and internal challenges. Outcomes from these processes are subsequently translated into timely interventions to ensure the Service continues to meet workforce capacity requirements and build capability. In addition, it provides opportunity to refresh the workforce through the identification of people; internally and where required externally to fill identified key positions</w:t>
            </w:r>
          </w:p>
          <w:p w14:paraId="6B9D3801" w14:textId="77777777" w:rsidR="001672D6" w:rsidRPr="003B0095" w:rsidRDefault="001672D6" w:rsidP="00926BCC">
            <w:pPr>
              <w:pStyle w:val="ListParagraph"/>
              <w:rPr>
                <w:rFonts w:ascii="Verdana" w:hAnsi="Verdana"/>
                <w:sz w:val="22"/>
                <w:szCs w:val="22"/>
              </w:rPr>
            </w:pPr>
          </w:p>
        </w:tc>
      </w:tr>
    </w:tbl>
    <w:p w14:paraId="399BA657" w14:textId="77777777" w:rsidR="001672D6" w:rsidRDefault="001672D6" w:rsidP="001672D6">
      <w:pPr>
        <w:spacing w:after="0"/>
      </w:pPr>
    </w:p>
    <w:p w14:paraId="2349266F" w14:textId="77777777" w:rsidR="001672D6" w:rsidRDefault="001672D6" w:rsidP="001672D6">
      <w:pPr>
        <w:spacing w:after="0"/>
      </w:pPr>
    </w:p>
    <w:p w14:paraId="48542719" w14:textId="77777777" w:rsidR="001672D6" w:rsidRDefault="001672D6" w:rsidP="001672D6">
      <w:r>
        <w:br w:type="page"/>
      </w:r>
    </w:p>
    <w:tbl>
      <w:tblPr>
        <w:tblStyle w:val="TableGrid"/>
        <w:tblW w:w="0" w:type="auto"/>
        <w:tblInd w:w="279" w:type="dxa"/>
        <w:tblLook w:val="04A0" w:firstRow="1" w:lastRow="0" w:firstColumn="1" w:lastColumn="0" w:noHBand="0" w:noVBand="1"/>
      </w:tblPr>
      <w:tblGrid>
        <w:gridCol w:w="15167"/>
      </w:tblGrid>
      <w:tr w:rsidR="001672D6" w:rsidRPr="00A1123B" w14:paraId="4332084C" w14:textId="77777777" w:rsidTr="00926BCC">
        <w:tc>
          <w:tcPr>
            <w:tcW w:w="15167" w:type="dxa"/>
            <w:shd w:val="clear" w:color="auto" w:fill="F2F2F2" w:themeFill="background1" w:themeFillShade="F2"/>
          </w:tcPr>
          <w:p w14:paraId="69603505" w14:textId="77777777" w:rsidR="001672D6" w:rsidRDefault="001672D6" w:rsidP="00926BCC">
            <w:pPr>
              <w:spacing w:line="276" w:lineRule="auto"/>
              <w:jc w:val="center"/>
              <w:rPr>
                <w:rFonts w:ascii="Verdana" w:hAnsi="Verdana"/>
                <w:sz w:val="22"/>
                <w:szCs w:val="22"/>
              </w:rPr>
            </w:pPr>
            <w:r>
              <w:lastRenderedPageBreak/>
              <w:br w:type="page"/>
            </w:r>
            <w:r w:rsidRPr="00A1123B">
              <w:rPr>
                <w:rFonts w:ascii="Verdana" w:hAnsi="Verdana"/>
                <w:b/>
                <w:sz w:val="22"/>
                <w:szCs w:val="22"/>
              </w:rPr>
              <w:t>Attracting talent</w:t>
            </w:r>
          </w:p>
          <w:p w14:paraId="2ADEDF87" w14:textId="77777777" w:rsidR="001672D6" w:rsidRPr="00A1123B" w:rsidRDefault="001672D6" w:rsidP="00926BCC">
            <w:pPr>
              <w:spacing w:line="276" w:lineRule="auto"/>
              <w:rPr>
                <w:rFonts w:ascii="Verdana" w:hAnsi="Verdana"/>
                <w:sz w:val="22"/>
                <w:szCs w:val="22"/>
              </w:rPr>
            </w:pPr>
            <w:r>
              <w:rPr>
                <w:rFonts w:ascii="Verdana" w:hAnsi="Verdana"/>
                <w:sz w:val="22"/>
                <w:szCs w:val="22"/>
              </w:rPr>
              <w:t>T</w:t>
            </w:r>
            <w:r w:rsidRPr="00A1123B">
              <w:rPr>
                <w:rFonts w:ascii="Verdana" w:hAnsi="Verdana"/>
                <w:sz w:val="22"/>
                <w:szCs w:val="22"/>
              </w:rPr>
              <w:t xml:space="preserve">he Service </w:t>
            </w:r>
            <w:r w:rsidRPr="00A1123B">
              <w:rPr>
                <w:rFonts w:ascii="Verdana" w:hAnsi="Verdana" w:cs="Arial"/>
                <w:bCs/>
                <w:spacing w:val="-3"/>
                <w:sz w:val="22"/>
                <w:szCs w:val="22"/>
              </w:rPr>
              <w:t xml:space="preserve">is committed to ensuring its resourcing attracts, selects, and recruits the right </w:t>
            </w:r>
            <w:proofErr w:type="spellStart"/>
            <w:r w:rsidRPr="00A1123B">
              <w:rPr>
                <w:rFonts w:ascii="Verdana" w:hAnsi="Verdana" w:cs="Arial"/>
                <w:bCs/>
                <w:spacing w:val="-3"/>
                <w:sz w:val="22"/>
                <w:szCs w:val="22"/>
              </w:rPr>
              <w:t>calibre</w:t>
            </w:r>
            <w:proofErr w:type="spellEnd"/>
            <w:r w:rsidRPr="00A1123B">
              <w:rPr>
                <w:rFonts w:ascii="Verdana" w:hAnsi="Verdana" w:cs="Arial"/>
                <w:bCs/>
                <w:spacing w:val="-3"/>
                <w:sz w:val="22"/>
                <w:szCs w:val="22"/>
              </w:rPr>
              <w:t xml:space="preserve"> of people to deliver its corporate priorities, aligned to workforce planning requirements. The Service will ensure it retains the skills and capability need</w:t>
            </w:r>
            <w:r>
              <w:rPr>
                <w:rFonts w:ascii="Verdana" w:hAnsi="Verdana" w:cs="Arial"/>
                <w:bCs/>
                <w:spacing w:val="-3"/>
                <w:sz w:val="22"/>
                <w:szCs w:val="22"/>
              </w:rPr>
              <w:t>ed</w:t>
            </w:r>
            <w:r w:rsidRPr="00A1123B">
              <w:rPr>
                <w:rFonts w:ascii="Verdana" w:hAnsi="Verdana" w:cs="Arial"/>
                <w:bCs/>
                <w:spacing w:val="-3"/>
                <w:sz w:val="22"/>
                <w:szCs w:val="22"/>
              </w:rPr>
              <w:t xml:space="preserve"> and employ</w:t>
            </w:r>
            <w:r>
              <w:rPr>
                <w:rFonts w:ascii="Verdana" w:hAnsi="Verdana" w:cs="Arial"/>
                <w:bCs/>
                <w:spacing w:val="-3"/>
                <w:sz w:val="22"/>
                <w:szCs w:val="22"/>
              </w:rPr>
              <w:t>s</w:t>
            </w:r>
            <w:r w:rsidRPr="00A1123B">
              <w:rPr>
                <w:rFonts w:ascii="Verdana" w:hAnsi="Verdana" w:cs="Arial"/>
                <w:bCs/>
                <w:spacing w:val="-3"/>
                <w:sz w:val="22"/>
                <w:szCs w:val="22"/>
              </w:rPr>
              <w:t xml:space="preserve"> them productively to support its corporate objectives</w:t>
            </w:r>
            <w:r>
              <w:rPr>
                <w:rFonts w:ascii="Verdana" w:hAnsi="Verdana" w:cs="Arial"/>
                <w:bCs/>
                <w:spacing w:val="-3"/>
                <w:sz w:val="22"/>
                <w:szCs w:val="22"/>
              </w:rPr>
              <w:t>. It i</w:t>
            </w:r>
            <w:r w:rsidRPr="00A1123B">
              <w:rPr>
                <w:rFonts w:ascii="Verdana" w:hAnsi="Verdana" w:cs="Arial"/>
                <w:bCs/>
                <w:spacing w:val="-3"/>
                <w:sz w:val="22"/>
                <w:szCs w:val="22"/>
              </w:rPr>
              <w:t>s committed to establishing the right working arrangements and conditions of employment for all its employees.</w:t>
            </w:r>
          </w:p>
        </w:tc>
      </w:tr>
      <w:tr w:rsidR="001672D6" w:rsidRPr="00A1123B" w14:paraId="45BC6133" w14:textId="77777777" w:rsidTr="00926BCC">
        <w:tc>
          <w:tcPr>
            <w:tcW w:w="15167" w:type="dxa"/>
          </w:tcPr>
          <w:p w14:paraId="717525AC" w14:textId="77777777" w:rsidR="001672D6" w:rsidRPr="00A1123B" w:rsidRDefault="001672D6" w:rsidP="001672D6">
            <w:pPr>
              <w:pStyle w:val="ListParagraph"/>
              <w:numPr>
                <w:ilvl w:val="0"/>
                <w:numId w:val="4"/>
              </w:numPr>
              <w:spacing w:before="240" w:line="276" w:lineRule="auto"/>
              <w:rPr>
                <w:rFonts w:ascii="Verdana" w:hAnsi="Verdana"/>
                <w:sz w:val="22"/>
                <w:szCs w:val="22"/>
              </w:rPr>
            </w:pPr>
            <w:r w:rsidRPr="00A1123B">
              <w:rPr>
                <w:rFonts w:ascii="Verdana" w:hAnsi="Verdana"/>
                <w:sz w:val="22"/>
                <w:szCs w:val="22"/>
              </w:rPr>
              <w:t xml:space="preserve">The Service’s Recruitment and Selection </w:t>
            </w:r>
            <w:r>
              <w:rPr>
                <w:rFonts w:ascii="Verdana" w:hAnsi="Verdana"/>
                <w:sz w:val="22"/>
                <w:szCs w:val="22"/>
              </w:rPr>
              <w:t>P</w:t>
            </w:r>
            <w:r w:rsidRPr="00A1123B">
              <w:rPr>
                <w:rFonts w:ascii="Verdana" w:hAnsi="Verdana"/>
                <w:sz w:val="22"/>
                <w:szCs w:val="22"/>
              </w:rPr>
              <w:t xml:space="preserve">rocedure </w:t>
            </w:r>
            <w:r>
              <w:rPr>
                <w:rFonts w:ascii="Verdana" w:hAnsi="Verdana"/>
                <w:sz w:val="22"/>
                <w:szCs w:val="22"/>
              </w:rPr>
              <w:t xml:space="preserve">was updated in 2022. The document </w:t>
            </w:r>
            <w:r w:rsidRPr="00A1123B">
              <w:rPr>
                <w:rFonts w:ascii="Verdana" w:hAnsi="Verdana"/>
                <w:sz w:val="22"/>
                <w:szCs w:val="22"/>
              </w:rPr>
              <w:t xml:space="preserve">places emphasis on ensuring the </w:t>
            </w:r>
            <w:r w:rsidRPr="00A1123B">
              <w:rPr>
                <w:rFonts w:ascii="Verdana" w:hAnsi="Verdana" w:cs="Arial"/>
                <w:sz w:val="22"/>
                <w:szCs w:val="22"/>
              </w:rPr>
              <w:t>right skills, attitudes and behaviours are available to deliver the Service’s priorities throughout its recruitment and selection and promotion processes and includes t</w:t>
            </w:r>
            <w:r w:rsidRPr="00A1123B">
              <w:rPr>
                <w:rFonts w:ascii="Verdana" w:hAnsi="Verdana"/>
                <w:sz w:val="22"/>
                <w:szCs w:val="22"/>
              </w:rPr>
              <w:t>he Service’s pledge to all candidates:</w:t>
            </w:r>
          </w:p>
          <w:p w14:paraId="36331E10" w14:textId="77777777" w:rsidR="001672D6" w:rsidRPr="00A1123B" w:rsidRDefault="001672D6" w:rsidP="001672D6">
            <w:pPr>
              <w:pStyle w:val="ListParagraph"/>
              <w:numPr>
                <w:ilvl w:val="2"/>
                <w:numId w:val="4"/>
              </w:numPr>
              <w:spacing w:after="160" w:line="276" w:lineRule="auto"/>
              <w:ind w:left="1453"/>
              <w:rPr>
                <w:rFonts w:ascii="Verdana" w:hAnsi="Verdana"/>
                <w:sz w:val="22"/>
                <w:szCs w:val="22"/>
              </w:rPr>
            </w:pPr>
            <w:r w:rsidRPr="00A1123B">
              <w:rPr>
                <w:rFonts w:ascii="Verdana" w:hAnsi="Verdana"/>
                <w:sz w:val="22"/>
                <w:szCs w:val="22"/>
              </w:rPr>
              <w:t xml:space="preserve">Recruitment and selection will be fair, </w:t>
            </w:r>
            <w:proofErr w:type="gramStart"/>
            <w:r w:rsidRPr="00A1123B">
              <w:rPr>
                <w:rFonts w:ascii="Verdana" w:hAnsi="Verdana"/>
                <w:sz w:val="22"/>
                <w:szCs w:val="22"/>
              </w:rPr>
              <w:t>transparent</w:t>
            </w:r>
            <w:proofErr w:type="gramEnd"/>
            <w:r w:rsidRPr="00A1123B">
              <w:rPr>
                <w:rFonts w:ascii="Verdana" w:hAnsi="Verdana"/>
                <w:sz w:val="22"/>
                <w:szCs w:val="22"/>
              </w:rPr>
              <w:t xml:space="preserve"> and consistent </w:t>
            </w:r>
          </w:p>
          <w:p w14:paraId="621518E9" w14:textId="77777777" w:rsidR="001672D6" w:rsidRPr="00A1123B" w:rsidRDefault="001672D6" w:rsidP="001672D6">
            <w:pPr>
              <w:pStyle w:val="ListParagraph"/>
              <w:numPr>
                <w:ilvl w:val="2"/>
                <w:numId w:val="4"/>
              </w:numPr>
              <w:spacing w:line="276" w:lineRule="auto"/>
              <w:ind w:left="1453"/>
              <w:rPr>
                <w:rFonts w:ascii="Verdana" w:hAnsi="Verdana"/>
                <w:sz w:val="22"/>
                <w:szCs w:val="22"/>
              </w:rPr>
            </w:pPr>
            <w:r w:rsidRPr="00A1123B">
              <w:rPr>
                <w:rFonts w:ascii="Verdana" w:hAnsi="Verdana"/>
                <w:sz w:val="22"/>
                <w:szCs w:val="22"/>
              </w:rPr>
              <w:t xml:space="preserve">Commitment to providing processes that offer equal opportunity and avoids unlawful discrimination </w:t>
            </w:r>
          </w:p>
          <w:p w14:paraId="5E699F53" w14:textId="77777777" w:rsidR="001672D6" w:rsidRPr="00A1123B" w:rsidRDefault="001672D6" w:rsidP="001672D6">
            <w:pPr>
              <w:pStyle w:val="ListParagraph"/>
              <w:numPr>
                <w:ilvl w:val="2"/>
                <w:numId w:val="4"/>
              </w:numPr>
              <w:spacing w:after="160" w:line="276" w:lineRule="auto"/>
              <w:ind w:left="1453"/>
              <w:rPr>
                <w:rFonts w:ascii="Verdana" w:hAnsi="Verdana"/>
                <w:sz w:val="22"/>
                <w:szCs w:val="22"/>
              </w:rPr>
            </w:pPr>
            <w:r w:rsidRPr="00A1123B">
              <w:rPr>
                <w:rFonts w:ascii="Verdana" w:hAnsi="Verdana"/>
                <w:sz w:val="22"/>
                <w:szCs w:val="22"/>
              </w:rPr>
              <w:t xml:space="preserve">Equal and reasonable access to information about the role, its </w:t>
            </w:r>
            <w:proofErr w:type="gramStart"/>
            <w:r w:rsidRPr="00A1123B">
              <w:rPr>
                <w:rFonts w:ascii="Verdana" w:hAnsi="Verdana"/>
                <w:sz w:val="22"/>
                <w:szCs w:val="22"/>
              </w:rPr>
              <w:t>requirements</w:t>
            </w:r>
            <w:proofErr w:type="gramEnd"/>
            <w:r w:rsidRPr="00A1123B">
              <w:rPr>
                <w:rFonts w:ascii="Verdana" w:hAnsi="Verdana"/>
                <w:sz w:val="22"/>
                <w:szCs w:val="22"/>
              </w:rPr>
              <w:t xml:space="preserve"> and the selection processes to be used</w:t>
            </w:r>
          </w:p>
          <w:p w14:paraId="15121696" w14:textId="77777777" w:rsidR="001672D6" w:rsidRPr="00A1123B" w:rsidRDefault="001672D6" w:rsidP="001672D6">
            <w:pPr>
              <w:pStyle w:val="ListParagraph"/>
              <w:numPr>
                <w:ilvl w:val="2"/>
                <w:numId w:val="4"/>
              </w:numPr>
              <w:spacing w:after="160" w:line="276" w:lineRule="auto"/>
              <w:ind w:left="1453"/>
              <w:rPr>
                <w:rFonts w:ascii="Verdana" w:hAnsi="Verdana"/>
                <w:sz w:val="22"/>
                <w:szCs w:val="22"/>
              </w:rPr>
            </w:pPr>
            <w:r w:rsidRPr="00A1123B">
              <w:rPr>
                <w:rFonts w:ascii="Verdana" w:hAnsi="Verdana"/>
                <w:sz w:val="22"/>
                <w:szCs w:val="22"/>
              </w:rPr>
              <w:t>Support will be provided throughout the process, which can be tailored to individual requirements</w:t>
            </w:r>
          </w:p>
          <w:p w14:paraId="71F92D64" w14:textId="77777777" w:rsidR="001672D6" w:rsidRPr="00A1123B" w:rsidRDefault="001672D6" w:rsidP="001672D6">
            <w:pPr>
              <w:pStyle w:val="ListParagraph"/>
              <w:numPr>
                <w:ilvl w:val="2"/>
                <w:numId w:val="4"/>
              </w:numPr>
              <w:spacing w:after="160" w:line="276" w:lineRule="auto"/>
              <w:ind w:left="1453"/>
              <w:rPr>
                <w:rFonts w:ascii="Verdana" w:hAnsi="Verdana"/>
                <w:sz w:val="22"/>
                <w:szCs w:val="22"/>
              </w:rPr>
            </w:pPr>
            <w:r w:rsidRPr="00A1123B">
              <w:rPr>
                <w:rFonts w:ascii="Verdana" w:hAnsi="Verdana"/>
                <w:sz w:val="22"/>
                <w:szCs w:val="22"/>
              </w:rPr>
              <w:t xml:space="preserve">Selection will be based on relevant and consistently applied criteria, using methods which are reliable, objective and guard against bias. All those involved in the recruitment and selection process will be appropriately trained </w:t>
            </w:r>
          </w:p>
          <w:p w14:paraId="7F4F384E" w14:textId="77777777" w:rsidR="001672D6" w:rsidRPr="00A1123B" w:rsidRDefault="001672D6" w:rsidP="001672D6">
            <w:pPr>
              <w:pStyle w:val="ListParagraph"/>
              <w:numPr>
                <w:ilvl w:val="2"/>
                <w:numId w:val="4"/>
              </w:numPr>
              <w:spacing w:after="160" w:line="276" w:lineRule="auto"/>
              <w:ind w:left="1453"/>
              <w:rPr>
                <w:rFonts w:ascii="Verdana" w:hAnsi="Verdana"/>
                <w:sz w:val="22"/>
                <w:szCs w:val="22"/>
              </w:rPr>
            </w:pPr>
            <w:r w:rsidRPr="00A1123B">
              <w:rPr>
                <w:rFonts w:ascii="Verdana" w:hAnsi="Verdana"/>
                <w:sz w:val="22"/>
                <w:szCs w:val="22"/>
              </w:rPr>
              <w:t xml:space="preserve">Selection will be based on merit and focus on candidates meeting the essential criteria and required behaviours </w:t>
            </w:r>
          </w:p>
          <w:p w14:paraId="1D300698" w14:textId="77777777" w:rsidR="001672D6" w:rsidRPr="00A1123B" w:rsidRDefault="001672D6" w:rsidP="001672D6">
            <w:pPr>
              <w:pStyle w:val="ListParagraph"/>
              <w:numPr>
                <w:ilvl w:val="2"/>
                <w:numId w:val="4"/>
              </w:numPr>
              <w:spacing w:after="160" w:line="276" w:lineRule="auto"/>
              <w:ind w:left="1453"/>
              <w:rPr>
                <w:rFonts w:ascii="Verdana" w:hAnsi="Verdana"/>
                <w:sz w:val="22"/>
                <w:szCs w:val="22"/>
              </w:rPr>
            </w:pPr>
            <w:r w:rsidRPr="00A1123B">
              <w:rPr>
                <w:rFonts w:ascii="Verdana" w:hAnsi="Verdana"/>
                <w:sz w:val="22"/>
                <w:szCs w:val="22"/>
              </w:rPr>
              <w:t xml:space="preserve">Individuals will be encouraged to develop their skills and </w:t>
            </w:r>
            <w:proofErr w:type="gramStart"/>
            <w:r w:rsidRPr="00A1123B">
              <w:rPr>
                <w:rFonts w:ascii="Verdana" w:hAnsi="Verdana"/>
                <w:sz w:val="22"/>
                <w:szCs w:val="22"/>
              </w:rPr>
              <w:t>have the opportunity to</w:t>
            </w:r>
            <w:proofErr w:type="gramEnd"/>
            <w:r w:rsidRPr="00A1123B">
              <w:rPr>
                <w:rFonts w:ascii="Verdana" w:hAnsi="Verdana"/>
                <w:sz w:val="22"/>
                <w:szCs w:val="22"/>
              </w:rPr>
              <w:t xml:space="preserve"> learn and develop </w:t>
            </w:r>
            <w:r w:rsidRPr="00A1123B">
              <w:rPr>
                <w:rFonts w:ascii="Verdana" w:hAnsi="Verdana"/>
                <w:strike/>
                <w:sz w:val="22"/>
                <w:szCs w:val="22"/>
              </w:rPr>
              <w:t xml:space="preserve">   </w:t>
            </w:r>
          </w:p>
          <w:p w14:paraId="5679AB3E" w14:textId="77777777" w:rsidR="001672D6" w:rsidRDefault="001672D6" w:rsidP="001672D6">
            <w:pPr>
              <w:pStyle w:val="ListParagraph"/>
              <w:numPr>
                <w:ilvl w:val="0"/>
                <w:numId w:val="4"/>
              </w:numPr>
              <w:spacing w:before="240" w:line="276" w:lineRule="auto"/>
              <w:rPr>
                <w:rFonts w:ascii="Verdana" w:hAnsi="Verdana"/>
                <w:sz w:val="22"/>
                <w:szCs w:val="22"/>
              </w:rPr>
            </w:pPr>
            <w:r w:rsidRPr="00A1123B">
              <w:rPr>
                <w:rFonts w:ascii="Verdana" w:hAnsi="Verdana"/>
                <w:sz w:val="22"/>
                <w:szCs w:val="22"/>
              </w:rPr>
              <w:t xml:space="preserve">We continue to support </w:t>
            </w:r>
            <w:r>
              <w:rPr>
                <w:rFonts w:ascii="Verdana" w:hAnsi="Verdana"/>
                <w:sz w:val="22"/>
                <w:szCs w:val="22"/>
              </w:rPr>
              <w:t xml:space="preserve">and be members of </w:t>
            </w:r>
            <w:r w:rsidRPr="00A1123B">
              <w:rPr>
                <w:rFonts w:ascii="Verdana" w:hAnsi="Verdana"/>
                <w:sz w:val="22"/>
                <w:szCs w:val="22"/>
              </w:rPr>
              <w:t>the Networking Women in the Fire Service programme</w:t>
            </w:r>
            <w:r>
              <w:rPr>
                <w:rFonts w:ascii="Verdana" w:hAnsi="Verdana"/>
                <w:sz w:val="22"/>
                <w:szCs w:val="22"/>
              </w:rPr>
              <w:t xml:space="preserve"> and </w:t>
            </w:r>
            <w:r w:rsidRPr="00AB4DB4">
              <w:rPr>
                <w:rFonts w:ascii="Verdana" w:hAnsi="Verdana"/>
                <w:sz w:val="22"/>
                <w:szCs w:val="22"/>
              </w:rPr>
              <w:t>in 202</w:t>
            </w:r>
            <w:r>
              <w:rPr>
                <w:rFonts w:ascii="Verdana" w:hAnsi="Verdana"/>
                <w:sz w:val="22"/>
                <w:szCs w:val="22"/>
              </w:rPr>
              <w:t>2</w:t>
            </w:r>
            <w:r w:rsidRPr="00A1123B">
              <w:rPr>
                <w:rFonts w:ascii="Verdana" w:hAnsi="Verdana"/>
                <w:sz w:val="22"/>
                <w:szCs w:val="22"/>
              </w:rPr>
              <w:t xml:space="preserve"> </w:t>
            </w:r>
            <w:r>
              <w:rPr>
                <w:rFonts w:ascii="Verdana" w:hAnsi="Verdana"/>
                <w:sz w:val="22"/>
                <w:szCs w:val="22"/>
              </w:rPr>
              <w:t>funded</w:t>
            </w:r>
            <w:r w:rsidRPr="00A1123B">
              <w:rPr>
                <w:rFonts w:ascii="Verdana" w:hAnsi="Verdana"/>
                <w:sz w:val="22"/>
                <w:szCs w:val="22"/>
              </w:rPr>
              <w:t xml:space="preserve"> pl</w:t>
            </w:r>
            <w:r w:rsidRPr="00330376">
              <w:rPr>
                <w:rFonts w:ascii="Verdana" w:hAnsi="Verdana"/>
                <w:sz w:val="22"/>
                <w:szCs w:val="22"/>
              </w:rPr>
              <w:t xml:space="preserve">aces </w:t>
            </w:r>
            <w:r>
              <w:rPr>
                <w:rFonts w:ascii="Verdana" w:hAnsi="Verdana"/>
                <w:sz w:val="22"/>
                <w:szCs w:val="22"/>
              </w:rPr>
              <w:t xml:space="preserve">on their “have a go weekend” </w:t>
            </w:r>
          </w:p>
          <w:p w14:paraId="14AB41F1" w14:textId="17AF8AFE" w:rsidR="001672D6" w:rsidRDefault="001672D6" w:rsidP="001672D6">
            <w:pPr>
              <w:pStyle w:val="ListParagraph"/>
              <w:numPr>
                <w:ilvl w:val="0"/>
                <w:numId w:val="4"/>
              </w:numPr>
              <w:spacing w:before="240" w:line="276" w:lineRule="auto"/>
              <w:rPr>
                <w:rFonts w:ascii="Verdana" w:hAnsi="Verdana"/>
                <w:sz w:val="22"/>
                <w:szCs w:val="22"/>
              </w:rPr>
            </w:pPr>
            <w:r>
              <w:rPr>
                <w:rFonts w:ascii="Verdana" w:hAnsi="Verdana"/>
                <w:sz w:val="22"/>
                <w:szCs w:val="22"/>
              </w:rPr>
              <w:t xml:space="preserve">We continue to actively engage with the community through community engagement initiates, </w:t>
            </w:r>
            <w:r w:rsidR="00167A1B">
              <w:rPr>
                <w:rFonts w:ascii="Verdana" w:hAnsi="Verdana"/>
                <w:sz w:val="22"/>
                <w:szCs w:val="22"/>
              </w:rPr>
              <w:t xml:space="preserve">and </w:t>
            </w:r>
            <w:r w:rsidR="00AF223F">
              <w:rPr>
                <w:rFonts w:ascii="Verdana" w:hAnsi="Verdana"/>
                <w:sz w:val="22"/>
                <w:szCs w:val="22"/>
              </w:rPr>
              <w:t>throughout</w:t>
            </w:r>
            <w:r w:rsidR="00167A1B">
              <w:rPr>
                <w:rFonts w:ascii="Verdana" w:hAnsi="Verdana"/>
                <w:sz w:val="22"/>
                <w:szCs w:val="22"/>
              </w:rPr>
              <w:t xml:space="preserve"> 2022 </w:t>
            </w:r>
            <w:r>
              <w:rPr>
                <w:rFonts w:ascii="Verdana" w:hAnsi="Verdana"/>
                <w:sz w:val="22"/>
                <w:szCs w:val="22"/>
              </w:rPr>
              <w:t>include</w:t>
            </w:r>
            <w:r w:rsidR="00167A1B">
              <w:rPr>
                <w:rFonts w:ascii="Verdana" w:hAnsi="Verdana"/>
                <w:sz w:val="22"/>
                <w:szCs w:val="22"/>
              </w:rPr>
              <w:t>d</w:t>
            </w:r>
            <w:r>
              <w:rPr>
                <w:rFonts w:ascii="Verdana" w:hAnsi="Verdana"/>
                <w:sz w:val="22"/>
                <w:szCs w:val="22"/>
              </w:rPr>
              <w:t xml:space="preserve"> </w:t>
            </w:r>
            <w:r w:rsidR="00167A1B">
              <w:rPr>
                <w:rFonts w:ascii="Verdana" w:hAnsi="Verdana"/>
                <w:sz w:val="22"/>
                <w:szCs w:val="22"/>
              </w:rPr>
              <w:t xml:space="preserve">involvement in </w:t>
            </w:r>
            <w:r>
              <w:rPr>
                <w:rFonts w:ascii="Verdana" w:hAnsi="Verdana"/>
                <w:sz w:val="22"/>
                <w:szCs w:val="22"/>
              </w:rPr>
              <w:t xml:space="preserve">the national apprentice show, career fairs, Eid in the park to attract a wider talent pool </w:t>
            </w:r>
          </w:p>
          <w:p w14:paraId="090D7AEB" w14:textId="77777777" w:rsidR="001672D6" w:rsidRPr="00A97A9A" w:rsidRDefault="001672D6" w:rsidP="001672D6">
            <w:pPr>
              <w:pStyle w:val="ListParagraph"/>
              <w:numPr>
                <w:ilvl w:val="0"/>
                <w:numId w:val="4"/>
              </w:numPr>
              <w:spacing w:before="240" w:line="276" w:lineRule="auto"/>
              <w:rPr>
                <w:rFonts w:ascii="Verdana" w:hAnsi="Verdana"/>
                <w:sz w:val="22"/>
                <w:szCs w:val="22"/>
              </w:rPr>
            </w:pPr>
            <w:r>
              <w:rPr>
                <w:rFonts w:ascii="Verdana" w:hAnsi="Verdana"/>
                <w:sz w:val="22"/>
                <w:szCs w:val="22"/>
              </w:rPr>
              <w:t xml:space="preserve">The Service’s </w:t>
            </w:r>
            <w:r w:rsidRPr="00A97A9A">
              <w:rPr>
                <w:rFonts w:ascii="Verdana" w:hAnsi="Verdana"/>
                <w:sz w:val="22"/>
                <w:szCs w:val="22"/>
              </w:rPr>
              <w:t xml:space="preserve">talent management programme continues to ensure replenished development pools at each level, resulting in </w:t>
            </w:r>
            <w:r>
              <w:rPr>
                <w:rFonts w:ascii="Verdana" w:hAnsi="Verdana"/>
                <w:sz w:val="22"/>
                <w:szCs w:val="22"/>
              </w:rPr>
              <w:t>employees</w:t>
            </w:r>
            <w:r w:rsidRPr="00A97A9A">
              <w:rPr>
                <w:rFonts w:ascii="Verdana" w:hAnsi="Verdana"/>
                <w:sz w:val="22"/>
                <w:szCs w:val="22"/>
              </w:rPr>
              <w:t xml:space="preserve"> with the required skills to fulfil the roles when needed. All elements/modules of our promotional process have been reviewed, consulted on, and brought together in one Operational Promotional </w:t>
            </w:r>
            <w:r>
              <w:rPr>
                <w:rFonts w:ascii="Verdana" w:hAnsi="Verdana"/>
                <w:sz w:val="22"/>
                <w:szCs w:val="22"/>
              </w:rPr>
              <w:t>P</w:t>
            </w:r>
            <w:r w:rsidRPr="00A97A9A">
              <w:rPr>
                <w:rFonts w:ascii="Verdana" w:hAnsi="Verdana"/>
                <w:sz w:val="22"/>
                <w:szCs w:val="22"/>
              </w:rPr>
              <w:t xml:space="preserve">rocedure to provide clarity and consistency to </w:t>
            </w:r>
            <w:r>
              <w:rPr>
                <w:rFonts w:ascii="Verdana" w:hAnsi="Verdana"/>
                <w:sz w:val="22"/>
                <w:szCs w:val="22"/>
              </w:rPr>
              <w:t>employees</w:t>
            </w:r>
            <w:r w:rsidRPr="00A97A9A">
              <w:rPr>
                <w:rFonts w:ascii="Verdana" w:hAnsi="Verdana"/>
                <w:sz w:val="22"/>
                <w:szCs w:val="22"/>
              </w:rPr>
              <w:t xml:space="preserve"> on the requirements and route for promotion</w:t>
            </w:r>
            <w:r>
              <w:rPr>
                <w:rFonts w:ascii="Verdana" w:hAnsi="Verdana"/>
                <w:sz w:val="22"/>
                <w:szCs w:val="22"/>
              </w:rPr>
              <w:t xml:space="preserve">. During 2022 an in-year review was undertaken on the Procedure to recognise temporary amendments to the Institution of Fire Engineers (IFE) requirements to enable a wider pool of applicants through the promotional process </w:t>
            </w:r>
          </w:p>
          <w:p w14:paraId="65313DF8" w14:textId="77777777" w:rsidR="001672D6" w:rsidRPr="00C03A10" w:rsidRDefault="001672D6" w:rsidP="001672D6">
            <w:pPr>
              <w:pStyle w:val="ListParagraph"/>
              <w:numPr>
                <w:ilvl w:val="0"/>
                <w:numId w:val="4"/>
              </w:numPr>
              <w:spacing w:before="240" w:line="276" w:lineRule="auto"/>
              <w:rPr>
                <w:rFonts w:ascii="Verdana" w:hAnsi="Verdana"/>
                <w:sz w:val="22"/>
                <w:szCs w:val="22"/>
              </w:rPr>
            </w:pPr>
            <w:proofErr w:type="spellStart"/>
            <w:r w:rsidRPr="00C03A10">
              <w:rPr>
                <w:rFonts w:ascii="Verdana" w:hAnsi="Verdana"/>
                <w:sz w:val="22"/>
                <w:szCs w:val="22"/>
              </w:rPr>
              <w:t>Wholetime</w:t>
            </w:r>
            <w:proofErr w:type="spellEnd"/>
            <w:r w:rsidRPr="00C03A10">
              <w:rPr>
                <w:rFonts w:ascii="Verdana" w:hAnsi="Verdana"/>
                <w:sz w:val="22"/>
                <w:szCs w:val="22"/>
              </w:rPr>
              <w:t xml:space="preserve"> recruitment is structured with the aim of attracting a diverse pool of applicants, reflective of the community </w:t>
            </w:r>
          </w:p>
          <w:p w14:paraId="3C70BC9D" w14:textId="0D1ED02E" w:rsidR="001672D6" w:rsidRPr="00AE2217" w:rsidRDefault="001672D6" w:rsidP="001672D6">
            <w:pPr>
              <w:pStyle w:val="ListParagraph"/>
              <w:numPr>
                <w:ilvl w:val="0"/>
                <w:numId w:val="4"/>
              </w:numPr>
              <w:spacing w:before="240" w:line="276" w:lineRule="auto"/>
              <w:rPr>
                <w:rFonts w:ascii="Verdana" w:hAnsi="Verdana"/>
                <w:sz w:val="22"/>
                <w:szCs w:val="22"/>
              </w:rPr>
            </w:pPr>
            <w:r w:rsidRPr="00AE2217">
              <w:rPr>
                <w:rFonts w:ascii="Verdana" w:hAnsi="Verdana"/>
                <w:sz w:val="22"/>
                <w:szCs w:val="22"/>
              </w:rPr>
              <w:lastRenderedPageBreak/>
              <w:t>During 2022 a Recruitment Oversight Board was established to agree the terms of reference and priorities for the Workforce Planning Group. T</w:t>
            </w:r>
            <w:r w:rsidR="008378B6">
              <w:rPr>
                <w:rFonts w:ascii="Verdana" w:hAnsi="Verdana"/>
                <w:sz w:val="22"/>
                <w:szCs w:val="22"/>
              </w:rPr>
              <w:t>his group was established t</w:t>
            </w:r>
            <w:r w:rsidRPr="00AE2217">
              <w:rPr>
                <w:rFonts w:ascii="Verdana" w:hAnsi="Verdana"/>
                <w:sz w:val="22"/>
                <w:szCs w:val="22"/>
              </w:rPr>
              <w:t xml:space="preserve">o ensure the Service efficiently and effectively maintains a sustainable workforce that has the capacity and capabilities to deliver the Corporate Plan and Authority’s Vision and Values. To enable the Service to take appropriate action </w:t>
            </w:r>
            <w:r w:rsidR="008378B6" w:rsidRPr="00AE2217">
              <w:rPr>
                <w:rFonts w:ascii="Verdana" w:hAnsi="Verdana"/>
                <w:sz w:val="22"/>
                <w:szCs w:val="22"/>
              </w:rPr>
              <w:t>to</w:t>
            </w:r>
            <w:r w:rsidRPr="00AE2217">
              <w:rPr>
                <w:rFonts w:ascii="Verdana" w:hAnsi="Verdana"/>
                <w:sz w:val="22"/>
                <w:szCs w:val="22"/>
              </w:rPr>
              <w:t xml:space="preserve"> recruit, develop and retain the right workforce, addressing key future and occupational skill shortages</w:t>
            </w:r>
          </w:p>
          <w:p w14:paraId="4C00A6E1" w14:textId="7C254BEC" w:rsidR="001672D6" w:rsidRDefault="008378B6" w:rsidP="001672D6">
            <w:pPr>
              <w:pStyle w:val="ListParagraph"/>
              <w:numPr>
                <w:ilvl w:val="0"/>
                <w:numId w:val="4"/>
              </w:numPr>
              <w:spacing w:before="240" w:line="276" w:lineRule="auto"/>
              <w:rPr>
                <w:rFonts w:ascii="Verdana" w:hAnsi="Verdana"/>
                <w:sz w:val="22"/>
                <w:szCs w:val="22"/>
              </w:rPr>
            </w:pPr>
            <w:r>
              <w:rPr>
                <w:rFonts w:ascii="Verdana" w:hAnsi="Verdana"/>
                <w:sz w:val="22"/>
                <w:szCs w:val="22"/>
              </w:rPr>
              <w:t>Due to</w:t>
            </w:r>
            <w:r w:rsidR="001672D6" w:rsidRPr="00A9224B">
              <w:rPr>
                <w:rFonts w:ascii="Verdana" w:hAnsi="Verdana"/>
                <w:sz w:val="22"/>
                <w:szCs w:val="22"/>
              </w:rPr>
              <w:t xml:space="preserve"> the success of virtual recruitment awareness evenings</w:t>
            </w:r>
            <w:r w:rsidR="001672D6">
              <w:rPr>
                <w:rFonts w:ascii="Verdana" w:hAnsi="Verdana"/>
                <w:sz w:val="22"/>
                <w:szCs w:val="22"/>
              </w:rPr>
              <w:t>, o</w:t>
            </w:r>
            <w:r w:rsidR="001672D6" w:rsidRPr="00A9224B">
              <w:rPr>
                <w:rFonts w:ascii="Verdana" w:hAnsi="Verdana"/>
                <w:sz w:val="22"/>
                <w:szCs w:val="22"/>
              </w:rPr>
              <w:t>nline psychometric testing</w:t>
            </w:r>
            <w:r w:rsidR="001672D6">
              <w:rPr>
                <w:rFonts w:ascii="Verdana" w:hAnsi="Verdana"/>
                <w:sz w:val="22"/>
                <w:szCs w:val="22"/>
              </w:rPr>
              <w:t xml:space="preserve"> and interviews</w:t>
            </w:r>
            <w:r w:rsidR="001672D6" w:rsidRPr="00A9224B">
              <w:rPr>
                <w:rFonts w:ascii="Verdana" w:hAnsi="Verdana"/>
                <w:sz w:val="22"/>
                <w:szCs w:val="22"/>
              </w:rPr>
              <w:t xml:space="preserve"> </w:t>
            </w:r>
            <w:r>
              <w:rPr>
                <w:rFonts w:ascii="Verdana" w:hAnsi="Verdana"/>
                <w:sz w:val="22"/>
                <w:szCs w:val="22"/>
              </w:rPr>
              <w:t xml:space="preserve">that were </w:t>
            </w:r>
            <w:r w:rsidR="001672D6" w:rsidRPr="00A9224B">
              <w:rPr>
                <w:rFonts w:ascii="Verdana" w:hAnsi="Verdana"/>
                <w:sz w:val="22"/>
                <w:szCs w:val="22"/>
              </w:rPr>
              <w:t>introduced due to the strict coronavirus (Covid-19) pandemic guidelines, this approach has continued along with the reintroduction of face-to-face awareness sessions. This has increased the number of applicants due to its accessibility and flexibilit</w:t>
            </w:r>
            <w:r w:rsidR="001672D6" w:rsidRPr="00A9224B">
              <w:rPr>
                <w:rFonts w:ascii="Verdana" w:hAnsi="Verdana"/>
              </w:rPr>
              <w:t>y</w:t>
            </w:r>
          </w:p>
          <w:p w14:paraId="500EE964" w14:textId="2AAE08A1" w:rsidR="001672D6" w:rsidRDefault="001672D6" w:rsidP="001672D6">
            <w:pPr>
              <w:pStyle w:val="ListParagraph"/>
              <w:numPr>
                <w:ilvl w:val="0"/>
                <w:numId w:val="4"/>
              </w:numPr>
              <w:spacing w:before="240" w:line="276" w:lineRule="auto"/>
              <w:rPr>
                <w:rFonts w:ascii="Verdana" w:hAnsi="Verdana"/>
                <w:sz w:val="22"/>
                <w:szCs w:val="22"/>
              </w:rPr>
            </w:pPr>
            <w:r w:rsidRPr="00A9224B">
              <w:rPr>
                <w:rFonts w:ascii="Verdana" w:hAnsi="Verdana"/>
                <w:sz w:val="22"/>
                <w:szCs w:val="22"/>
              </w:rPr>
              <w:t xml:space="preserve">A structured interview process is used in all recruitment and promotion activity. Structuring interviews so the same questions are asked to all candidates, in the same order, format and responses assessed using a </w:t>
            </w:r>
            <w:proofErr w:type="spellStart"/>
            <w:r w:rsidRPr="00A9224B">
              <w:rPr>
                <w:rFonts w:ascii="Verdana" w:hAnsi="Verdana"/>
                <w:sz w:val="22"/>
                <w:szCs w:val="22"/>
              </w:rPr>
              <w:t>standardised</w:t>
            </w:r>
            <w:proofErr w:type="spellEnd"/>
            <w:r w:rsidRPr="00A9224B">
              <w:rPr>
                <w:rFonts w:ascii="Verdana" w:hAnsi="Verdana"/>
                <w:sz w:val="22"/>
                <w:szCs w:val="22"/>
              </w:rPr>
              <w:t xml:space="preserve"> criterion to reduce unconscious bias in processes </w:t>
            </w:r>
          </w:p>
          <w:p w14:paraId="718DD06B" w14:textId="68818118" w:rsidR="00AF223F" w:rsidRPr="00A9224B" w:rsidRDefault="00AF223F" w:rsidP="001672D6">
            <w:pPr>
              <w:pStyle w:val="ListParagraph"/>
              <w:numPr>
                <w:ilvl w:val="0"/>
                <w:numId w:val="4"/>
              </w:numPr>
              <w:spacing w:before="240" w:line="276" w:lineRule="auto"/>
              <w:rPr>
                <w:rFonts w:ascii="Verdana" w:hAnsi="Verdana"/>
                <w:sz w:val="22"/>
                <w:szCs w:val="22"/>
              </w:rPr>
            </w:pPr>
            <w:r w:rsidRPr="00A1123B">
              <w:rPr>
                <w:rFonts w:ascii="Verdana" w:hAnsi="Verdana"/>
                <w:sz w:val="22"/>
                <w:szCs w:val="22"/>
              </w:rPr>
              <w:t>To reduce potential prejudice and bias in recruitment and selection</w:t>
            </w:r>
            <w:r>
              <w:rPr>
                <w:rFonts w:ascii="Verdana" w:hAnsi="Verdana"/>
                <w:sz w:val="22"/>
                <w:szCs w:val="22"/>
              </w:rPr>
              <w:t xml:space="preserve">, </w:t>
            </w:r>
            <w:r w:rsidRPr="00A1123B">
              <w:rPr>
                <w:rFonts w:ascii="Verdana" w:hAnsi="Verdana"/>
                <w:sz w:val="22"/>
                <w:szCs w:val="22"/>
              </w:rPr>
              <w:t>training is delivered to those who undertake interviewing</w:t>
            </w:r>
          </w:p>
          <w:p w14:paraId="671C917E" w14:textId="77777777" w:rsidR="001672D6" w:rsidRPr="00E46CD9" w:rsidRDefault="001672D6" w:rsidP="001672D6">
            <w:pPr>
              <w:pStyle w:val="ListParagraph"/>
              <w:numPr>
                <w:ilvl w:val="0"/>
                <w:numId w:val="4"/>
              </w:numPr>
              <w:spacing w:line="276" w:lineRule="auto"/>
              <w:rPr>
                <w:rFonts w:ascii="Verdana" w:hAnsi="Verdana"/>
                <w:b/>
                <w:sz w:val="22"/>
                <w:szCs w:val="22"/>
              </w:rPr>
            </w:pPr>
            <w:r w:rsidRPr="00A1123B">
              <w:rPr>
                <w:rFonts w:ascii="Verdana" w:hAnsi="Verdana"/>
                <w:sz w:val="22"/>
                <w:szCs w:val="22"/>
              </w:rPr>
              <w:t xml:space="preserve">We continually review and update our recruitment processes, </w:t>
            </w:r>
            <w:r w:rsidRPr="00CA693F">
              <w:rPr>
                <w:rFonts w:ascii="Verdana" w:hAnsi="Verdana"/>
                <w:sz w:val="22"/>
                <w:szCs w:val="22"/>
              </w:rPr>
              <w:t>using fair and transparent processes</w:t>
            </w:r>
            <w:r>
              <w:rPr>
                <w:rFonts w:ascii="Verdana" w:hAnsi="Verdana"/>
                <w:sz w:val="22"/>
                <w:szCs w:val="22"/>
              </w:rPr>
              <w:t>,</w:t>
            </w:r>
            <w:r w:rsidRPr="00CA693F">
              <w:rPr>
                <w:rFonts w:ascii="Verdana" w:hAnsi="Verdana"/>
                <w:sz w:val="22"/>
                <w:szCs w:val="22"/>
              </w:rPr>
              <w:t xml:space="preserve"> </w:t>
            </w:r>
            <w:r w:rsidRPr="00A1123B">
              <w:rPr>
                <w:rFonts w:ascii="Verdana" w:hAnsi="Verdana"/>
                <w:sz w:val="22"/>
                <w:szCs w:val="22"/>
              </w:rPr>
              <w:t xml:space="preserve">ensuring any learns are fed into future recruitment </w:t>
            </w:r>
            <w:r>
              <w:rPr>
                <w:rFonts w:ascii="Verdana" w:hAnsi="Verdana"/>
                <w:sz w:val="22"/>
                <w:szCs w:val="22"/>
              </w:rPr>
              <w:t>activity</w:t>
            </w:r>
          </w:p>
          <w:p w14:paraId="4E068BC1" w14:textId="77777777" w:rsidR="001672D6" w:rsidRPr="00A1123B" w:rsidRDefault="001672D6" w:rsidP="001672D6">
            <w:pPr>
              <w:pStyle w:val="ListParagraph"/>
              <w:numPr>
                <w:ilvl w:val="0"/>
                <w:numId w:val="4"/>
              </w:numPr>
              <w:spacing w:line="276" w:lineRule="auto"/>
              <w:rPr>
                <w:rFonts w:ascii="Verdana" w:hAnsi="Verdana"/>
                <w:b/>
                <w:sz w:val="22"/>
                <w:szCs w:val="22"/>
              </w:rPr>
            </w:pPr>
            <w:r w:rsidRPr="00A1123B">
              <w:rPr>
                <w:rFonts w:ascii="Verdana" w:hAnsi="Verdana"/>
                <w:sz w:val="22"/>
                <w:szCs w:val="22"/>
              </w:rPr>
              <w:t xml:space="preserve">We ensure through the applicant sifting processes that information on protected characteristics is removed to eliminate the possibility of unconscious bias </w:t>
            </w:r>
          </w:p>
          <w:p w14:paraId="7E3DDDE9" w14:textId="77777777" w:rsidR="001672D6" w:rsidRPr="006B0A00" w:rsidRDefault="001672D6" w:rsidP="001672D6">
            <w:pPr>
              <w:pStyle w:val="ListParagraph"/>
              <w:numPr>
                <w:ilvl w:val="0"/>
                <w:numId w:val="4"/>
              </w:numPr>
              <w:spacing w:line="276" w:lineRule="auto"/>
              <w:rPr>
                <w:rFonts w:ascii="Verdana" w:hAnsi="Verdana"/>
                <w:b/>
              </w:rPr>
            </w:pPr>
            <w:r w:rsidRPr="00A63302">
              <w:rPr>
                <w:rFonts w:ascii="Verdana" w:hAnsi="Verdana"/>
                <w:sz w:val="22"/>
                <w:szCs w:val="22"/>
              </w:rPr>
              <w:t xml:space="preserve">The Service has pledged to support the Armed Forced Covenant within its recruitment strategy, including Career Transition Partnership’s, establishing a tailored employment pathway for veterans, service leavers and supporting the employment of armed forces spouses and partners. Advertising job opportunities through armed forces friendly recruitment agencies and charities and </w:t>
            </w:r>
            <w:proofErr w:type="spellStart"/>
            <w:r w:rsidRPr="00A63302">
              <w:rPr>
                <w:rFonts w:ascii="Verdana" w:hAnsi="Verdana"/>
                <w:sz w:val="22"/>
                <w:szCs w:val="22"/>
              </w:rPr>
              <w:t>recognising</w:t>
            </w:r>
            <w:proofErr w:type="spellEnd"/>
            <w:r w:rsidRPr="00A63302">
              <w:rPr>
                <w:rFonts w:ascii="Verdana" w:hAnsi="Verdana"/>
                <w:sz w:val="22"/>
                <w:szCs w:val="22"/>
              </w:rPr>
              <w:t xml:space="preserve"> relevant military qualifications in our recruitment/application processes</w:t>
            </w:r>
          </w:p>
          <w:p w14:paraId="267731C0" w14:textId="00AA249A" w:rsidR="001672D6" w:rsidRPr="006B0A00" w:rsidRDefault="001672D6" w:rsidP="001672D6">
            <w:pPr>
              <w:pStyle w:val="ListParagraph"/>
              <w:numPr>
                <w:ilvl w:val="0"/>
                <w:numId w:val="4"/>
              </w:numPr>
              <w:spacing w:line="276" w:lineRule="auto"/>
              <w:rPr>
                <w:rFonts w:ascii="Verdana" w:hAnsi="Verdana"/>
                <w:b/>
                <w:sz w:val="22"/>
                <w:szCs w:val="22"/>
              </w:rPr>
            </w:pPr>
            <w:r w:rsidRPr="006B0A00">
              <w:rPr>
                <w:rFonts w:ascii="Verdana" w:hAnsi="Verdana" w:cs="Calibri"/>
                <w:sz w:val="22"/>
                <w:szCs w:val="22"/>
              </w:rPr>
              <w:t xml:space="preserve">The </w:t>
            </w:r>
            <w:r>
              <w:rPr>
                <w:rFonts w:ascii="Verdana" w:hAnsi="Verdana" w:cs="Calibri"/>
                <w:sz w:val="22"/>
                <w:szCs w:val="22"/>
              </w:rPr>
              <w:t>Service</w:t>
            </w:r>
            <w:r w:rsidRPr="006B0A00">
              <w:rPr>
                <w:rFonts w:ascii="Verdana" w:hAnsi="Verdana" w:cs="Calibri"/>
                <w:sz w:val="22"/>
                <w:szCs w:val="22"/>
              </w:rPr>
              <w:t xml:space="preserve"> continues to look for ways to effectively utilise and improve its apprenticeship programme. Whether that be through different delivery models, collaboration with other emergency services or local businesses, or options to increase the funding available to invest in apprenticeships for </w:t>
            </w:r>
            <w:r>
              <w:rPr>
                <w:rFonts w:ascii="Verdana" w:hAnsi="Verdana" w:cs="Calibri"/>
                <w:sz w:val="22"/>
                <w:szCs w:val="22"/>
              </w:rPr>
              <w:t>employees</w:t>
            </w:r>
            <w:r w:rsidRPr="006B0A00">
              <w:rPr>
                <w:rFonts w:ascii="Verdana" w:hAnsi="Verdana" w:cs="Calibri"/>
                <w:sz w:val="22"/>
                <w:szCs w:val="22"/>
              </w:rPr>
              <w:t>. Year</w:t>
            </w:r>
            <w:r w:rsidR="008378B6">
              <w:rPr>
                <w:rFonts w:ascii="Verdana" w:hAnsi="Verdana" w:cs="Calibri"/>
                <w:sz w:val="22"/>
                <w:szCs w:val="22"/>
              </w:rPr>
              <w:t xml:space="preserve"> </w:t>
            </w:r>
            <w:r w:rsidRPr="006B0A00">
              <w:rPr>
                <w:rFonts w:ascii="Verdana" w:hAnsi="Verdana" w:cs="Calibri"/>
                <w:sz w:val="22"/>
                <w:szCs w:val="22"/>
              </w:rPr>
              <w:t>on</w:t>
            </w:r>
            <w:r w:rsidR="008378B6">
              <w:rPr>
                <w:rFonts w:ascii="Verdana" w:hAnsi="Verdana" w:cs="Calibri"/>
                <w:sz w:val="22"/>
                <w:szCs w:val="22"/>
              </w:rPr>
              <w:t xml:space="preserve"> </w:t>
            </w:r>
            <w:r w:rsidRPr="006B0A00">
              <w:rPr>
                <w:rFonts w:ascii="Verdana" w:hAnsi="Verdana" w:cs="Calibri"/>
                <w:sz w:val="22"/>
                <w:szCs w:val="22"/>
              </w:rPr>
              <w:t xml:space="preserve">year the </w:t>
            </w:r>
            <w:r>
              <w:rPr>
                <w:rFonts w:ascii="Verdana" w:hAnsi="Verdana" w:cs="Calibri"/>
                <w:sz w:val="22"/>
                <w:szCs w:val="22"/>
              </w:rPr>
              <w:t xml:space="preserve">Service </w:t>
            </w:r>
            <w:r w:rsidRPr="006B0A00">
              <w:rPr>
                <w:rFonts w:ascii="Verdana" w:hAnsi="Verdana" w:cs="Calibri"/>
                <w:sz w:val="22"/>
                <w:szCs w:val="22"/>
              </w:rPr>
              <w:t xml:space="preserve">has continued to exceed the </w:t>
            </w:r>
            <w:r w:rsidRPr="006B0A00">
              <w:rPr>
                <w:rFonts w:ascii="Verdana" w:eastAsia="Verdana" w:hAnsi="Verdana" w:cs="Calibri"/>
                <w:sz w:val="22"/>
                <w:szCs w:val="22"/>
              </w:rPr>
              <w:t xml:space="preserve">public sector target, introduced as part of the Government’s </w:t>
            </w:r>
            <w:r>
              <w:rPr>
                <w:rFonts w:ascii="Verdana" w:eastAsia="Verdana" w:hAnsi="Verdana" w:cs="Calibri"/>
                <w:sz w:val="22"/>
                <w:szCs w:val="22"/>
              </w:rPr>
              <w:t>A</w:t>
            </w:r>
            <w:r w:rsidRPr="006B0A00">
              <w:rPr>
                <w:rFonts w:ascii="Verdana" w:eastAsia="Verdana" w:hAnsi="Verdana" w:cs="Calibri"/>
                <w:sz w:val="22"/>
                <w:szCs w:val="22"/>
              </w:rPr>
              <w:t xml:space="preserve">pprenticeships Reform agenda, whereby </w:t>
            </w:r>
            <w:proofErr w:type="spellStart"/>
            <w:r w:rsidRPr="006B0A00">
              <w:rPr>
                <w:rFonts w:ascii="Verdana" w:eastAsia="Verdana" w:hAnsi="Verdana" w:cs="Calibri"/>
                <w:sz w:val="22"/>
                <w:szCs w:val="22"/>
              </w:rPr>
              <w:t>organisations</w:t>
            </w:r>
            <w:proofErr w:type="spellEnd"/>
            <w:r w:rsidRPr="006B0A00">
              <w:rPr>
                <w:rFonts w:ascii="Verdana" w:eastAsia="Verdana" w:hAnsi="Verdana" w:cs="Calibri"/>
                <w:sz w:val="22"/>
                <w:szCs w:val="22"/>
              </w:rPr>
              <w:t xml:space="preserve"> in England must meet a minimum of 2.3</w:t>
            </w:r>
            <w:r w:rsidR="00AF223F">
              <w:rPr>
                <w:rFonts w:ascii="Verdana" w:eastAsia="Verdana" w:hAnsi="Verdana" w:cs="Calibri"/>
                <w:sz w:val="22"/>
                <w:szCs w:val="22"/>
              </w:rPr>
              <w:t xml:space="preserve"> per cent</w:t>
            </w:r>
            <w:r w:rsidRPr="006B0A00">
              <w:rPr>
                <w:rFonts w:ascii="Verdana" w:eastAsia="Verdana" w:hAnsi="Verdana" w:cs="Calibri"/>
                <w:sz w:val="22"/>
                <w:szCs w:val="22"/>
              </w:rPr>
              <w:t xml:space="preserve"> apprenticeship new starts each year, based on employee headcount. </w:t>
            </w:r>
            <w:r w:rsidRPr="006B0A00">
              <w:rPr>
                <w:rFonts w:ascii="Verdana" w:hAnsi="Verdana" w:cs="Calibri"/>
                <w:sz w:val="22"/>
                <w:szCs w:val="22"/>
              </w:rPr>
              <w:t xml:space="preserve">With current and previous apprentices now embedded across the Service, </w:t>
            </w:r>
            <w:r>
              <w:rPr>
                <w:rFonts w:ascii="Verdana" w:hAnsi="Verdana" w:cs="Calibri"/>
                <w:sz w:val="22"/>
                <w:szCs w:val="22"/>
              </w:rPr>
              <w:t>we are</w:t>
            </w:r>
            <w:r w:rsidRPr="006B0A00">
              <w:rPr>
                <w:rFonts w:ascii="Verdana" w:hAnsi="Verdana" w:cs="Calibri"/>
                <w:sz w:val="22"/>
                <w:szCs w:val="22"/>
              </w:rPr>
              <w:t xml:space="preserve"> proud of its progress in employing new apprentices and upskilling existing</w:t>
            </w:r>
            <w:r w:rsidR="00FF736F">
              <w:rPr>
                <w:rFonts w:ascii="Verdana" w:hAnsi="Verdana" w:cs="Calibri"/>
                <w:sz w:val="22"/>
                <w:szCs w:val="22"/>
              </w:rPr>
              <w:t xml:space="preserve"> </w:t>
            </w:r>
            <w:r w:rsidRPr="006B0A00">
              <w:rPr>
                <w:rFonts w:ascii="Verdana" w:hAnsi="Verdana" w:cs="Calibri"/>
                <w:sz w:val="22"/>
                <w:szCs w:val="22"/>
              </w:rPr>
              <w:t>employees</w:t>
            </w:r>
          </w:p>
        </w:tc>
      </w:tr>
    </w:tbl>
    <w:p w14:paraId="06D6B3BC" w14:textId="77777777" w:rsidR="001672D6" w:rsidRDefault="001672D6" w:rsidP="001672D6">
      <w:pPr>
        <w:spacing w:after="0"/>
      </w:pPr>
    </w:p>
    <w:tbl>
      <w:tblPr>
        <w:tblStyle w:val="TableGrid"/>
        <w:tblW w:w="0" w:type="auto"/>
        <w:tblInd w:w="279" w:type="dxa"/>
        <w:tblLook w:val="04A0" w:firstRow="1" w:lastRow="0" w:firstColumn="1" w:lastColumn="0" w:noHBand="0" w:noVBand="1"/>
      </w:tblPr>
      <w:tblGrid>
        <w:gridCol w:w="15167"/>
      </w:tblGrid>
      <w:tr w:rsidR="001672D6" w:rsidRPr="00A1123B" w14:paraId="67D95F22" w14:textId="77777777" w:rsidTr="00926BCC">
        <w:tc>
          <w:tcPr>
            <w:tcW w:w="15167" w:type="dxa"/>
            <w:shd w:val="clear" w:color="auto" w:fill="F2F2F2" w:themeFill="background1" w:themeFillShade="F2"/>
          </w:tcPr>
          <w:p w14:paraId="75B9D6E3" w14:textId="77777777" w:rsidR="001672D6" w:rsidRDefault="001672D6" w:rsidP="00926BCC">
            <w:pPr>
              <w:spacing w:line="276" w:lineRule="auto"/>
              <w:jc w:val="center"/>
              <w:rPr>
                <w:rFonts w:ascii="Verdana" w:hAnsi="Verdana"/>
                <w:sz w:val="22"/>
                <w:szCs w:val="22"/>
              </w:rPr>
            </w:pPr>
            <w:r>
              <w:lastRenderedPageBreak/>
              <w:br w:type="page"/>
            </w:r>
            <w:r w:rsidRPr="00A1123B">
              <w:rPr>
                <w:rFonts w:ascii="Verdana" w:hAnsi="Verdana"/>
                <w:b/>
                <w:sz w:val="22"/>
                <w:szCs w:val="22"/>
              </w:rPr>
              <w:t>Supporting development</w:t>
            </w:r>
          </w:p>
          <w:p w14:paraId="7575A704" w14:textId="77777777" w:rsidR="001672D6" w:rsidRDefault="001672D6" w:rsidP="00926BCC">
            <w:pPr>
              <w:spacing w:line="276" w:lineRule="auto"/>
              <w:rPr>
                <w:rFonts w:ascii="Verdana" w:hAnsi="Verdana"/>
                <w:sz w:val="22"/>
                <w:szCs w:val="22"/>
              </w:rPr>
            </w:pPr>
            <w:r>
              <w:rPr>
                <w:rFonts w:ascii="Verdana" w:hAnsi="Verdana"/>
                <w:sz w:val="22"/>
                <w:szCs w:val="22"/>
              </w:rPr>
              <w:t>T</w:t>
            </w:r>
            <w:r w:rsidRPr="00A1123B">
              <w:rPr>
                <w:rFonts w:ascii="Verdana" w:hAnsi="Verdana"/>
                <w:sz w:val="22"/>
                <w:szCs w:val="22"/>
              </w:rPr>
              <w:t xml:space="preserve">he Service strives to create a sustainable workforce through medium to long term strategic planning, treating employees as assets enabling the Service to </w:t>
            </w:r>
            <w:proofErr w:type="gramStart"/>
            <w:r w:rsidRPr="00A1123B">
              <w:rPr>
                <w:rFonts w:ascii="Verdana" w:hAnsi="Verdana"/>
                <w:sz w:val="22"/>
                <w:szCs w:val="22"/>
              </w:rPr>
              <w:t>plan for the future</w:t>
            </w:r>
            <w:proofErr w:type="gramEnd"/>
            <w:r w:rsidRPr="00A1123B">
              <w:rPr>
                <w:rFonts w:ascii="Verdana" w:hAnsi="Verdana"/>
                <w:sz w:val="22"/>
                <w:szCs w:val="22"/>
              </w:rPr>
              <w:t xml:space="preserve"> with regards to the workforce requirements. By creating and maintaining a </w:t>
            </w:r>
            <w:r w:rsidRPr="00A1123B">
              <w:rPr>
                <w:rStyle w:val="Strong"/>
                <w:rFonts w:ascii="Verdana" w:hAnsi="Verdana"/>
                <w:b w:val="0"/>
                <w:sz w:val="22"/>
                <w:szCs w:val="22"/>
              </w:rPr>
              <w:t>sustainable workforce</w:t>
            </w:r>
            <w:r w:rsidRPr="00A1123B">
              <w:rPr>
                <w:rFonts w:ascii="Verdana" w:hAnsi="Verdana"/>
                <w:b/>
                <w:sz w:val="22"/>
                <w:szCs w:val="22"/>
              </w:rPr>
              <w:t xml:space="preserve"> </w:t>
            </w:r>
            <w:r w:rsidRPr="00A1123B">
              <w:rPr>
                <w:rFonts w:ascii="Verdana" w:hAnsi="Verdana"/>
                <w:sz w:val="22"/>
                <w:szCs w:val="22"/>
              </w:rPr>
              <w:t xml:space="preserve">requires the Service to take appropriate action to: </w:t>
            </w:r>
          </w:p>
          <w:p w14:paraId="3D953BAA" w14:textId="77777777" w:rsidR="001672D6" w:rsidRPr="00C67FEF" w:rsidRDefault="001672D6" w:rsidP="001672D6">
            <w:pPr>
              <w:pStyle w:val="ListParagraph"/>
              <w:numPr>
                <w:ilvl w:val="0"/>
                <w:numId w:val="16"/>
              </w:numPr>
              <w:ind w:left="744"/>
              <w:rPr>
                <w:rFonts w:ascii="Verdana" w:hAnsi="Verdana"/>
                <w:sz w:val="22"/>
                <w:szCs w:val="22"/>
              </w:rPr>
            </w:pPr>
            <w:r w:rsidRPr="00C67FEF">
              <w:rPr>
                <w:rFonts w:ascii="Verdana" w:hAnsi="Verdana"/>
                <w:sz w:val="22"/>
                <w:szCs w:val="22"/>
              </w:rPr>
              <w:t>Recruit and retain the right workforce</w:t>
            </w:r>
          </w:p>
          <w:p w14:paraId="211EC24D" w14:textId="77777777" w:rsidR="001672D6" w:rsidRDefault="001672D6" w:rsidP="001672D6">
            <w:pPr>
              <w:pStyle w:val="ListParagraph"/>
              <w:numPr>
                <w:ilvl w:val="0"/>
                <w:numId w:val="16"/>
              </w:numPr>
              <w:ind w:left="744"/>
              <w:rPr>
                <w:rFonts w:ascii="Verdana" w:hAnsi="Verdana"/>
                <w:sz w:val="22"/>
                <w:szCs w:val="22"/>
              </w:rPr>
            </w:pPr>
            <w:r w:rsidRPr="00C67FEF">
              <w:rPr>
                <w:rFonts w:ascii="Verdana" w:hAnsi="Verdana"/>
                <w:sz w:val="22"/>
                <w:szCs w:val="22"/>
              </w:rPr>
              <w:t>Address key future and occupational skill shortages</w:t>
            </w:r>
          </w:p>
          <w:p w14:paraId="3410B9C6" w14:textId="77777777" w:rsidR="001672D6" w:rsidRPr="00C67FEF" w:rsidRDefault="001672D6" w:rsidP="001672D6">
            <w:pPr>
              <w:pStyle w:val="ListParagraph"/>
              <w:numPr>
                <w:ilvl w:val="0"/>
                <w:numId w:val="16"/>
              </w:numPr>
              <w:ind w:left="744"/>
              <w:rPr>
                <w:rFonts w:ascii="Verdana" w:hAnsi="Verdana"/>
                <w:sz w:val="22"/>
                <w:szCs w:val="22"/>
              </w:rPr>
            </w:pPr>
            <w:r>
              <w:rPr>
                <w:rFonts w:ascii="Verdana" w:hAnsi="Verdana"/>
                <w:sz w:val="22"/>
                <w:szCs w:val="22"/>
              </w:rPr>
              <w:t>P</w:t>
            </w:r>
            <w:r w:rsidRPr="00C67FEF">
              <w:rPr>
                <w:rFonts w:ascii="Verdana" w:hAnsi="Verdana"/>
                <w:sz w:val="22"/>
                <w:szCs w:val="22"/>
              </w:rPr>
              <w:t xml:space="preserve">romote jobs, </w:t>
            </w:r>
            <w:proofErr w:type="gramStart"/>
            <w:r w:rsidRPr="00C67FEF">
              <w:rPr>
                <w:rFonts w:ascii="Verdana" w:hAnsi="Verdana"/>
                <w:sz w:val="22"/>
                <w:szCs w:val="22"/>
              </w:rPr>
              <w:t>careers</w:t>
            </w:r>
            <w:proofErr w:type="gramEnd"/>
            <w:r w:rsidRPr="00C67FEF">
              <w:rPr>
                <w:rFonts w:ascii="Verdana" w:hAnsi="Verdana"/>
                <w:sz w:val="22"/>
                <w:szCs w:val="22"/>
              </w:rPr>
              <w:t xml:space="preserve"> and the concept of employability</w:t>
            </w:r>
          </w:p>
          <w:p w14:paraId="00B3A472" w14:textId="77777777" w:rsidR="001672D6" w:rsidRPr="00C67FEF" w:rsidRDefault="001672D6" w:rsidP="001672D6">
            <w:pPr>
              <w:pStyle w:val="ListParagraph"/>
              <w:numPr>
                <w:ilvl w:val="0"/>
                <w:numId w:val="16"/>
              </w:numPr>
              <w:ind w:left="744"/>
              <w:rPr>
                <w:rFonts w:ascii="Verdana" w:hAnsi="Verdana"/>
                <w:sz w:val="22"/>
                <w:szCs w:val="22"/>
              </w:rPr>
            </w:pPr>
            <w:r w:rsidRPr="00C67FEF">
              <w:rPr>
                <w:rFonts w:ascii="Verdana" w:hAnsi="Verdana"/>
                <w:sz w:val="22"/>
                <w:szCs w:val="22"/>
              </w:rPr>
              <w:t xml:space="preserve">Identify, </w:t>
            </w:r>
            <w:proofErr w:type="gramStart"/>
            <w:r w:rsidRPr="00C67FEF">
              <w:rPr>
                <w:rFonts w:ascii="Verdana" w:hAnsi="Verdana"/>
                <w:sz w:val="22"/>
                <w:szCs w:val="22"/>
              </w:rPr>
              <w:t>develop</w:t>
            </w:r>
            <w:proofErr w:type="gramEnd"/>
            <w:r w:rsidRPr="00C67FEF">
              <w:rPr>
                <w:rFonts w:ascii="Verdana" w:hAnsi="Verdana"/>
                <w:sz w:val="22"/>
                <w:szCs w:val="22"/>
              </w:rPr>
              <w:t xml:space="preserve"> and motivate talent</w:t>
            </w:r>
          </w:p>
          <w:p w14:paraId="06B84FC8" w14:textId="77777777" w:rsidR="001672D6" w:rsidRPr="00C67FEF" w:rsidRDefault="001672D6" w:rsidP="001672D6">
            <w:pPr>
              <w:pStyle w:val="ListParagraph"/>
              <w:numPr>
                <w:ilvl w:val="0"/>
                <w:numId w:val="16"/>
              </w:numPr>
              <w:ind w:left="744"/>
              <w:rPr>
                <w:rFonts w:ascii="Verdana" w:hAnsi="Verdana"/>
              </w:rPr>
            </w:pPr>
            <w:r w:rsidRPr="00C67FEF">
              <w:rPr>
                <w:rFonts w:ascii="Verdana" w:hAnsi="Verdana"/>
                <w:sz w:val="22"/>
                <w:szCs w:val="22"/>
              </w:rPr>
              <w:t>Address diversity and inclusion issues</w:t>
            </w:r>
          </w:p>
        </w:tc>
      </w:tr>
      <w:tr w:rsidR="001672D6" w:rsidRPr="00A1123B" w14:paraId="11916137" w14:textId="77777777" w:rsidTr="00926BCC">
        <w:tc>
          <w:tcPr>
            <w:tcW w:w="15167" w:type="dxa"/>
          </w:tcPr>
          <w:p w14:paraId="19237887" w14:textId="77777777" w:rsidR="001672D6" w:rsidRPr="00A1123B" w:rsidRDefault="001672D6" w:rsidP="001672D6">
            <w:pPr>
              <w:pStyle w:val="ListParagraph"/>
              <w:numPr>
                <w:ilvl w:val="0"/>
                <w:numId w:val="11"/>
              </w:numPr>
              <w:spacing w:before="240" w:line="276" w:lineRule="auto"/>
              <w:ind w:left="738"/>
              <w:rPr>
                <w:rFonts w:ascii="Verdana" w:hAnsi="Verdana"/>
                <w:sz w:val="22"/>
                <w:szCs w:val="22"/>
              </w:rPr>
            </w:pPr>
            <w:r w:rsidRPr="00A1123B">
              <w:rPr>
                <w:rFonts w:ascii="Verdana" w:hAnsi="Verdana"/>
                <w:sz w:val="22"/>
                <w:szCs w:val="22"/>
              </w:rPr>
              <w:t xml:space="preserve">Workforce </w:t>
            </w:r>
            <w:r>
              <w:rPr>
                <w:rFonts w:ascii="Verdana" w:hAnsi="Verdana"/>
                <w:sz w:val="22"/>
                <w:szCs w:val="22"/>
              </w:rPr>
              <w:t xml:space="preserve">diversity </w:t>
            </w:r>
            <w:r w:rsidRPr="00A1123B">
              <w:rPr>
                <w:rFonts w:ascii="Verdana" w:hAnsi="Verdana"/>
                <w:sz w:val="22"/>
                <w:szCs w:val="22"/>
              </w:rPr>
              <w:t xml:space="preserve">data is collated, </w:t>
            </w:r>
            <w:proofErr w:type="gramStart"/>
            <w:r w:rsidRPr="00A1123B">
              <w:rPr>
                <w:rFonts w:ascii="Verdana" w:hAnsi="Verdana"/>
                <w:sz w:val="22"/>
                <w:szCs w:val="22"/>
              </w:rPr>
              <w:t>reviewed</w:t>
            </w:r>
            <w:proofErr w:type="gramEnd"/>
            <w:r w:rsidRPr="00A1123B">
              <w:rPr>
                <w:rFonts w:ascii="Verdana" w:hAnsi="Verdana"/>
                <w:sz w:val="22"/>
                <w:szCs w:val="22"/>
              </w:rPr>
              <w:t xml:space="preserve"> and reported, which ensure</w:t>
            </w:r>
            <w:r>
              <w:rPr>
                <w:rFonts w:ascii="Verdana" w:hAnsi="Verdana"/>
                <w:sz w:val="22"/>
                <w:szCs w:val="22"/>
              </w:rPr>
              <w:t>s</w:t>
            </w:r>
            <w:r w:rsidRPr="00A1123B">
              <w:rPr>
                <w:rFonts w:ascii="Verdana" w:hAnsi="Verdana"/>
                <w:sz w:val="22"/>
                <w:szCs w:val="22"/>
              </w:rPr>
              <w:t xml:space="preserve"> the Service is focused and able to make decisions to improve results</w:t>
            </w:r>
            <w:r>
              <w:rPr>
                <w:rFonts w:ascii="Verdana" w:hAnsi="Verdana"/>
                <w:sz w:val="22"/>
                <w:szCs w:val="22"/>
              </w:rPr>
              <w:t>. T</w:t>
            </w:r>
            <w:r w:rsidRPr="00A1123B">
              <w:rPr>
                <w:rFonts w:ascii="Verdana" w:hAnsi="Verdana"/>
                <w:sz w:val="22"/>
                <w:szCs w:val="22"/>
              </w:rPr>
              <w:t>he data details:</w:t>
            </w:r>
          </w:p>
          <w:p w14:paraId="00D394AF" w14:textId="77777777" w:rsidR="001672D6" w:rsidRPr="00A1123B" w:rsidRDefault="001672D6" w:rsidP="001672D6">
            <w:pPr>
              <w:pStyle w:val="ListParagraph"/>
              <w:numPr>
                <w:ilvl w:val="1"/>
                <w:numId w:val="4"/>
              </w:numPr>
              <w:spacing w:line="276" w:lineRule="auto"/>
              <w:ind w:left="1447"/>
              <w:rPr>
                <w:rFonts w:ascii="Verdana" w:hAnsi="Verdana"/>
                <w:sz w:val="22"/>
                <w:szCs w:val="22"/>
              </w:rPr>
            </w:pPr>
            <w:r w:rsidRPr="00A1123B">
              <w:rPr>
                <w:rFonts w:ascii="Verdana" w:hAnsi="Verdana"/>
                <w:sz w:val="22"/>
                <w:szCs w:val="22"/>
              </w:rPr>
              <w:t xml:space="preserve">The numbers of males and females within the </w:t>
            </w:r>
            <w:r>
              <w:rPr>
                <w:rFonts w:ascii="Verdana" w:hAnsi="Verdana"/>
                <w:sz w:val="22"/>
                <w:szCs w:val="22"/>
              </w:rPr>
              <w:t>Service</w:t>
            </w:r>
            <w:r w:rsidRPr="00A1123B">
              <w:rPr>
                <w:rFonts w:ascii="Verdana" w:hAnsi="Verdana"/>
                <w:sz w:val="22"/>
                <w:szCs w:val="22"/>
              </w:rPr>
              <w:t xml:space="preserve"> </w:t>
            </w:r>
          </w:p>
          <w:p w14:paraId="4FFBB58C" w14:textId="77777777" w:rsidR="001672D6" w:rsidRPr="00A1123B" w:rsidRDefault="001672D6" w:rsidP="001672D6">
            <w:pPr>
              <w:pStyle w:val="ListParagraph"/>
              <w:numPr>
                <w:ilvl w:val="1"/>
                <w:numId w:val="4"/>
              </w:numPr>
              <w:spacing w:line="276" w:lineRule="auto"/>
              <w:ind w:left="1447"/>
              <w:rPr>
                <w:rFonts w:ascii="Verdana" w:hAnsi="Verdana"/>
                <w:sz w:val="22"/>
                <w:szCs w:val="22"/>
              </w:rPr>
            </w:pPr>
            <w:r w:rsidRPr="00A1123B">
              <w:rPr>
                <w:rFonts w:ascii="Verdana" w:hAnsi="Verdana"/>
                <w:sz w:val="22"/>
                <w:szCs w:val="22"/>
              </w:rPr>
              <w:t xml:space="preserve">The numbers of males and females at each level of the </w:t>
            </w:r>
            <w:r>
              <w:rPr>
                <w:rFonts w:ascii="Verdana" w:hAnsi="Verdana"/>
                <w:sz w:val="22"/>
                <w:szCs w:val="22"/>
              </w:rPr>
              <w:t>Service</w:t>
            </w:r>
            <w:r w:rsidRPr="00A1123B">
              <w:rPr>
                <w:rFonts w:ascii="Verdana" w:hAnsi="Verdana"/>
                <w:sz w:val="22"/>
                <w:szCs w:val="22"/>
              </w:rPr>
              <w:t xml:space="preserve"> </w:t>
            </w:r>
          </w:p>
          <w:p w14:paraId="067089A4" w14:textId="77777777" w:rsidR="001672D6" w:rsidRPr="00A1123B" w:rsidRDefault="001672D6" w:rsidP="001672D6">
            <w:pPr>
              <w:pStyle w:val="ListParagraph"/>
              <w:numPr>
                <w:ilvl w:val="1"/>
                <w:numId w:val="4"/>
              </w:numPr>
              <w:spacing w:line="276" w:lineRule="auto"/>
              <w:ind w:left="1447"/>
              <w:rPr>
                <w:rFonts w:ascii="Verdana" w:hAnsi="Verdana"/>
                <w:sz w:val="22"/>
                <w:szCs w:val="22"/>
              </w:rPr>
            </w:pPr>
            <w:r w:rsidRPr="00A1123B">
              <w:rPr>
                <w:rFonts w:ascii="Verdana" w:hAnsi="Verdana"/>
                <w:sz w:val="22"/>
                <w:szCs w:val="22"/>
              </w:rPr>
              <w:t>The proportion of males and females applying for roles and being recruited</w:t>
            </w:r>
          </w:p>
          <w:p w14:paraId="265D05FD" w14:textId="77777777" w:rsidR="001672D6" w:rsidRPr="00A1123B" w:rsidRDefault="001672D6" w:rsidP="001672D6">
            <w:pPr>
              <w:pStyle w:val="ListParagraph"/>
              <w:numPr>
                <w:ilvl w:val="1"/>
                <w:numId w:val="4"/>
              </w:numPr>
              <w:spacing w:line="276" w:lineRule="auto"/>
              <w:ind w:left="1447"/>
              <w:rPr>
                <w:rFonts w:ascii="Verdana" w:hAnsi="Verdana"/>
                <w:sz w:val="22"/>
                <w:szCs w:val="22"/>
              </w:rPr>
            </w:pPr>
            <w:r w:rsidRPr="00A1123B">
              <w:rPr>
                <w:rFonts w:ascii="Verdana" w:hAnsi="Verdana"/>
                <w:sz w:val="22"/>
                <w:szCs w:val="22"/>
              </w:rPr>
              <w:t xml:space="preserve">The proportion of males and females applying for assessment processes and being promoted </w:t>
            </w:r>
          </w:p>
          <w:p w14:paraId="59BB713B" w14:textId="77777777" w:rsidR="001672D6" w:rsidRPr="00A1123B" w:rsidRDefault="001672D6" w:rsidP="001672D6">
            <w:pPr>
              <w:pStyle w:val="ListParagraph"/>
              <w:numPr>
                <w:ilvl w:val="1"/>
                <w:numId w:val="12"/>
              </w:numPr>
              <w:spacing w:line="276" w:lineRule="auto"/>
              <w:ind w:left="738"/>
              <w:rPr>
                <w:rFonts w:ascii="Verdana" w:eastAsia="Arial" w:hAnsi="Verdana"/>
                <w:strike/>
                <w:sz w:val="22"/>
                <w:szCs w:val="22"/>
              </w:rPr>
            </w:pPr>
            <w:r w:rsidRPr="00A1123B">
              <w:rPr>
                <w:rFonts w:ascii="Verdana" w:hAnsi="Verdana"/>
                <w:sz w:val="22"/>
                <w:szCs w:val="22"/>
              </w:rPr>
              <w:t xml:space="preserve">There is a </w:t>
            </w:r>
            <w:r w:rsidRPr="00F12830">
              <w:rPr>
                <w:rFonts w:ascii="Verdana" w:hAnsi="Verdana"/>
                <w:sz w:val="22"/>
                <w:szCs w:val="22"/>
              </w:rPr>
              <w:t>commitment to improve the breadth of diversity-related data available about the workforce. S</w:t>
            </w:r>
            <w:r w:rsidRPr="00F12830">
              <w:rPr>
                <w:rFonts w:ascii="Verdana" w:eastAsia="Arial" w:hAnsi="Verdana"/>
                <w:spacing w:val="6"/>
                <w:sz w:val="22"/>
                <w:szCs w:val="22"/>
              </w:rPr>
              <w:t>ubmitting sensitive personal information is optional, however is encouraged, as this data</w:t>
            </w:r>
            <w:r w:rsidRPr="00A1123B">
              <w:rPr>
                <w:rFonts w:ascii="Verdana" w:eastAsia="Arial" w:hAnsi="Verdana"/>
                <w:spacing w:val="6"/>
                <w:sz w:val="22"/>
                <w:szCs w:val="22"/>
              </w:rPr>
              <w:t xml:space="preserve"> is an important component to identifying inequality, initiating </w:t>
            </w:r>
            <w:proofErr w:type="gramStart"/>
            <w:r w:rsidRPr="00A1123B">
              <w:rPr>
                <w:rFonts w:ascii="Verdana" w:eastAsia="Arial" w:hAnsi="Verdana"/>
                <w:spacing w:val="6"/>
                <w:sz w:val="22"/>
                <w:szCs w:val="22"/>
              </w:rPr>
              <w:t>activity</w:t>
            </w:r>
            <w:proofErr w:type="gramEnd"/>
            <w:r w:rsidRPr="00A1123B">
              <w:rPr>
                <w:rFonts w:ascii="Verdana" w:eastAsia="Arial" w:hAnsi="Verdana"/>
                <w:spacing w:val="6"/>
                <w:sz w:val="22"/>
                <w:szCs w:val="22"/>
              </w:rPr>
              <w:t xml:space="preserve"> and evaluating progress to meet legislation under the Equality Act (2010)</w:t>
            </w:r>
          </w:p>
          <w:p w14:paraId="06F3D8BA" w14:textId="77777777" w:rsidR="001672D6" w:rsidRPr="00A1123B" w:rsidRDefault="001672D6" w:rsidP="001672D6">
            <w:pPr>
              <w:pStyle w:val="ListParagraph"/>
              <w:numPr>
                <w:ilvl w:val="1"/>
                <w:numId w:val="12"/>
              </w:numPr>
              <w:spacing w:line="276" w:lineRule="auto"/>
              <w:ind w:left="738"/>
              <w:rPr>
                <w:rFonts w:ascii="Verdana" w:hAnsi="Verdana"/>
                <w:sz w:val="22"/>
                <w:szCs w:val="22"/>
              </w:rPr>
            </w:pPr>
            <w:r w:rsidRPr="00A1123B">
              <w:rPr>
                <w:rFonts w:ascii="Verdana" w:hAnsi="Verdana"/>
                <w:sz w:val="22"/>
                <w:szCs w:val="22"/>
              </w:rPr>
              <w:t xml:space="preserve">Our aim is to continue to improve diversity data and </w:t>
            </w:r>
            <w:r>
              <w:rPr>
                <w:rFonts w:ascii="Verdana" w:hAnsi="Verdana"/>
                <w:sz w:val="22"/>
                <w:szCs w:val="22"/>
              </w:rPr>
              <w:t xml:space="preserve">the </w:t>
            </w:r>
            <w:proofErr w:type="spellStart"/>
            <w:r w:rsidRPr="00A1123B">
              <w:rPr>
                <w:rFonts w:ascii="Verdana" w:hAnsi="Verdana"/>
                <w:sz w:val="22"/>
                <w:szCs w:val="22"/>
              </w:rPr>
              <w:t>utilisation</w:t>
            </w:r>
            <w:proofErr w:type="spellEnd"/>
            <w:r w:rsidRPr="00A1123B">
              <w:rPr>
                <w:rFonts w:ascii="Verdana" w:hAnsi="Verdana"/>
                <w:sz w:val="22"/>
                <w:szCs w:val="22"/>
              </w:rPr>
              <w:t xml:space="preserve"> of the data across all parts of the existing workforce. For example, at various stages of the employee lifecycle and during recruitment processes to see </w:t>
            </w:r>
            <w:r>
              <w:rPr>
                <w:rFonts w:ascii="Verdana" w:hAnsi="Verdana"/>
                <w:sz w:val="22"/>
                <w:szCs w:val="22"/>
              </w:rPr>
              <w:t>individuals</w:t>
            </w:r>
            <w:r w:rsidRPr="00A1123B">
              <w:rPr>
                <w:rFonts w:ascii="Verdana" w:hAnsi="Verdana"/>
                <w:sz w:val="22"/>
                <w:szCs w:val="22"/>
              </w:rPr>
              <w:t xml:space="preserve"> are de-selected from the process. This data will be used to inform decisions</w:t>
            </w:r>
          </w:p>
          <w:p w14:paraId="53CE0773" w14:textId="77777777" w:rsidR="001672D6" w:rsidRPr="00A1123B" w:rsidRDefault="001672D6" w:rsidP="001672D6">
            <w:pPr>
              <w:pStyle w:val="ListParagraph"/>
              <w:numPr>
                <w:ilvl w:val="1"/>
                <w:numId w:val="12"/>
              </w:numPr>
              <w:spacing w:line="276" w:lineRule="auto"/>
              <w:ind w:left="738"/>
              <w:rPr>
                <w:rFonts w:ascii="Verdana" w:hAnsi="Verdana"/>
                <w:sz w:val="22"/>
                <w:szCs w:val="22"/>
              </w:rPr>
            </w:pPr>
            <w:r w:rsidRPr="00A1123B">
              <w:rPr>
                <w:rFonts w:ascii="Verdana" w:hAnsi="Verdana"/>
                <w:sz w:val="22"/>
                <w:szCs w:val="22"/>
              </w:rPr>
              <w:t>We will extend our evidence gathering to include data on the following additional areas:</w:t>
            </w:r>
          </w:p>
          <w:p w14:paraId="2200A33E" w14:textId="42078DD6" w:rsidR="001672D6" w:rsidRPr="00A1123B" w:rsidRDefault="001672D6" w:rsidP="00AF223F">
            <w:pPr>
              <w:pStyle w:val="ListParagraph"/>
              <w:numPr>
                <w:ilvl w:val="0"/>
                <w:numId w:val="13"/>
              </w:numPr>
              <w:spacing w:line="276" w:lineRule="auto"/>
              <w:ind w:left="1447"/>
              <w:rPr>
                <w:rFonts w:ascii="Verdana" w:hAnsi="Verdana"/>
                <w:sz w:val="22"/>
                <w:szCs w:val="22"/>
              </w:rPr>
            </w:pPr>
            <w:r w:rsidRPr="00A1123B">
              <w:rPr>
                <w:rFonts w:ascii="Verdana" w:hAnsi="Verdana"/>
                <w:sz w:val="22"/>
                <w:szCs w:val="22"/>
              </w:rPr>
              <w:t>Analysis of fall-out rates during recruitment processes and exploration of alternate recruitment practices</w:t>
            </w:r>
          </w:p>
          <w:p w14:paraId="0D833A8C" w14:textId="77777777" w:rsidR="001672D6" w:rsidRPr="00A1123B" w:rsidRDefault="001672D6" w:rsidP="00AF223F">
            <w:pPr>
              <w:pStyle w:val="ListParagraph"/>
              <w:numPr>
                <w:ilvl w:val="0"/>
                <w:numId w:val="13"/>
              </w:numPr>
              <w:spacing w:line="276" w:lineRule="auto"/>
              <w:ind w:left="1447"/>
              <w:rPr>
                <w:rFonts w:ascii="Verdana" w:hAnsi="Verdana"/>
                <w:sz w:val="22"/>
                <w:szCs w:val="22"/>
              </w:rPr>
            </w:pPr>
            <w:r w:rsidRPr="00A1123B">
              <w:rPr>
                <w:rFonts w:ascii="Verdana" w:hAnsi="Verdana"/>
                <w:sz w:val="22"/>
                <w:szCs w:val="22"/>
              </w:rPr>
              <w:t xml:space="preserve">The proportion of males and females leaving the </w:t>
            </w:r>
            <w:r>
              <w:rPr>
                <w:rFonts w:ascii="Verdana" w:hAnsi="Verdana"/>
                <w:sz w:val="22"/>
                <w:szCs w:val="22"/>
              </w:rPr>
              <w:t>Service</w:t>
            </w:r>
            <w:r w:rsidRPr="00A1123B">
              <w:rPr>
                <w:rFonts w:ascii="Verdana" w:hAnsi="Verdana"/>
                <w:sz w:val="22"/>
                <w:szCs w:val="22"/>
              </w:rPr>
              <w:t xml:space="preserve"> and the reasons </w:t>
            </w:r>
            <w:r>
              <w:rPr>
                <w:rFonts w:ascii="Verdana" w:hAnsi="Verdana"/>
                <w:sz w:val="22"/>
                <w:szCs w:val="22"/>
              </w:rPr>
              <w:t>why</w:t>
            </w:r>
            <w:r w:rsidRPr="00A1123B">
              <w:rPr>
                <w:rFonts w:ascii="Verdana" w:hAnsi="Verdana"/>
                <w:sz w:val="22"/>
                <w:szCs w:val="22"/>
              </w:rPr>
              <w:t xml:space="preserve"> </w:t>
            </w:r>
          </w:p>
          <w:p w14:paraId="7E69C919" w14:textId="77777777" w:rsidR="001672D6" w:rsidRPr="00A1123B" w:rsidRDefault="001672D6" w:rsidP="00AF223F">
            <w:pPr>
              <w:pStyle w:val="ListParagraph"/>
              <w:numPr>
                <w:ilvl w:val="0"/>
                <w:numId w:val="13"/>
              </w:numPr>
              <w:spacing w:line="276" w:lineRule="auto"/>
              <w:ind w:left="1447"/>
              <w:rPr>
                <w:rFonts w:ascii="Verdana" w:hAnsi="Verdana"/>
                <w:sz w:val="22"/>
                <w:szCs w:val="22"/>
              </w:rPr>
            </w:pPr>
            <w:r w:rsidRPr="00A1123B">
              <w:rPr>
                <w:rFonts w:ascii="Verdana" w:hAnsi="Verdana"/>
                <w:sz w:val="22"/>
                <w:szCs w:val="22"/>
              </w:rPr>
              <w:t xml:space="preserve">Analysis on training spend broken down </w:t>
            </w:r>
            <w:r>
              <w:rPr>
                <w:rFonts w:ascii="Verdana" w:hAnsi="Verdana"/>
                <w:sz w:val="22"/>
                <w:szCs w:val="22"/>
              </w:rPr>
              <w:t>by</w:t>
            </w:r>
            <w:r w:rsidRPr="00A1123B">
              <w:rPr>
                <w:rFonts w:ascii="Verdana" w:hAnsi="Verdana"/>
                <w:sz w:val="22"/>
                <w:szCs w:val="22"/>
              </w:rPr>
              <w:t xml:space="preserve"> males and females </w:t>
            </w:r>
          </w:p>
          <w:p w14:paraId="3B54C5C9" w14:textId="77777777" w:rsidR="001672D6" w:rsidRPr="00A1123B" w:rsidRDefault="001672D6" w:rsidP="00AF223F">
            <w:pPr>
              <w:pStyle w:val="ListParagraph"/>
              <w:numPr>
                <w:ilvl w:val="0"/>
                <w:numId w:val="13"/>
              </w:numPr>
              <w:spacing w:line="276" w:lineRule="auto"/>
              <w:ind w:left="1447"/>
              <w:rPr>
                <w:rFonts w:ascii="Verdana" w:hAnsi="Verdana"/>
                <w:sz w:val="22"/>
                <w:szCs w:val="22"/>
              </w:rPr>
            </w:pPr>
            <w:r w:rsidRPr="00A1123B">
              <w:rPr>
                <w:rFonts w:ascii="Verdana" w:hAnsi="Verdana"/>
                <w:sz w:val="22"/>
                <w:szCs w:val="22"/>
              </w:rPr>
              <w:t xml:space="preserve">Determine any structural barriers to promotion opportunities </w:t>
            </w:r>
          </w:p>
          <w:p w14:paraId="3E3473AE" w14:textId="77777777" w:rsidR="001672D6" w:rsidRDefault="001672D6" w:rsidP="001672D6">
            <w:pPr>
              <w:pStyle w:val="ListParagraph"/>
              <w:numPr>
                <w:ilvl w:val="0"/>
                <w:numId w:val="12"/>
              </w:numPr>
              <w:spacing w:line="276" w:lineRule="auto"/>
              <w:rPr>
                <w:rFonts w:ascii="Verdana" w:hAnsi="Verdana"/>
                <w:sz w:val="22"/>
                <w:szCs w:val="22"/>
              </w:rPr>
            </w:pPr>
            <w:r w:rsidRPr="00A1123B">
              <w:rPr>
                <w:rFonts w:ascii="Verdana" w:hAnsi="Verdana"/>
                <w:sz w:val="22"/>
                <w:szCs w:val="22"/>
              </w:rPr>
              <w:lastRenderedPageBreak/>
              <w:t xml:space="preserve">Leadership training and opportunities for development are available to all employees, such as job shadowing and acting up/temporary promotion, so that individuals can experience the variety of roles within the Service, providing wider </w:t>
            </w:r>
            <w:r w:rsidRPr="008F66AE">
              <w:rPr>
                <w:rFonts w:ascii="Verdana" w:hAnsi="Verdana"/>
                <w:sz w:val="22"/>
                <w:szCs w:val="22"/>
              </w:rPr>
              <w:t xml:space="preserve">organisational awareness and benefiting both the individual and the Service    </w:t>
            </w:r>
          </w:p>
          <w:p w14:paraId="7D46B4DF" w14:textId="6102E924" w:rsidR="001672D6" w:rsidRPr="00F12C20" w:rsidRDefault="001672D6" w:rsidP="001672D6">
            <w:pPr>
              <w:pStyle w:val="ListParagraph"/>
              <w:numPr>
                <w:ilvl w:val="0"/>
                <w:numId w:val="12"/>
              </w:numPr>
              <w:spacing w:line="276" w:lineRule="auto"/>
              <w:rPr>
                <w:rFonts w:ascii="Verdana" w:hAnsi="Verdana"/>
                <w:sz w:val="22"/>
                <w:szCs w:val="22"/>
              </w:rPr>
            </w:pPr>
            <w:r w:rsidRPr="00F12C20">
              <w:rPr>
                <w:rFonts w:ascii="Verdana" w:hAnsi="Verdana"/>
                <w:sz w:val="22"/>
                <w:szCs w:val="22"/>
              </w:rPr>
              <w:t xml:space="preserve">Delivery of a leadership and management development programme (LMDP) to improve the effectiveness of existing managers as well as provide development opportunities and pathways for future managers and leaders of the </w:t>
            </w:r>
            <w:proofErr w:type="spellStart"/>
            <w:r w:rsidRPr="00F12C20">
              <w:rPr>
                <w:rFonts w:ascii="Verdana" w:hAnsi="Verdana"/>
                <w:sz w:val="22"/>
                <w:szCs w:val="22"/>
              </w:rPr>
              <w:t>organi</w:t>
            </w:r>
            <w:r>
              <w:rPr>
                <w:rFonts w:ascii="Verdana" w:hAnsi="Verdana"/>
                <w:sz w:val="22"/>
                <w:szCs w:val="22"/>
              </w:rPr>
              <w:t>s</w:t>
            </w:r>
            <w:r w:rsidRPr="00F12C20">
              <w:rPr>
                <w:rFonts w:ascii="Verdana" w:hAnsi="Verdana"/>
                <w:sz w:val="22"/>
                <w:szCs w:val="22"/>
              </w:rPr>
              <w:t>ation</w:t>
            </w:r>
            <w:proofErr w:type="spellEnd"/>
            <w:r w:rsidRPr="00F12C20">
              <w:rPr>
                <w:rFonts w:ascii="Verdana" w:hAnsi="Verdana"/>
                <w:sz w:val="22"/>
                <w:szCs w:val="22"/>
              </w:rPr>
              <w:t xml:space="preserve"> has been completed </w:t>
            </w:r>
            <w:r>
              <w:rPr>
                <w:rFonts w:ascii="Verdana" w:hAnsi="Verdana"/>
                <w:sz w:val="22"/>
                <w:szCs w:val="22"/>
              </w:rPr>
              <w:t>during</w:t>
            </w:r>
            <w:r w:rsidRPr="00F12C20">
              <w:rPr>
                <w:rFonts w:ascii="Verdana" w:hAnsi="Verdana"/>
                <w:sz w:val="22"/>
                <w:szCs w:val="22"/>
              </w:rPr>
              <w:t xml:space="preserve"> 2022. The programme </w:t>
            </w:r>
            <w:r w:rsidR="008378B6">
              <w:rPr>
                <w:rFonts w:ascii="Verdana" w:hAnsi="Verdana"/>
                <w:sz w:val="22"/>
                <w:szCs w:val="22"/>
              </w:rPr>
              <w:t>w</w:t>
            </w:r>
            <w:r w:rsidRPr="00F12C20">
              <w:rPr>
                <w:rFonts w:ascii="Verdana" w:hAnsi="Verdana"/>
                <w:sz w:val="22"/>
                <w:szCs w:val="22"/>
              </w:rPr>
              <w:t xml:space="preserve">as initially delivered by an external provider and the content built upon the foundations contained within the NFCC Leadership Framework, the priority areas identified via the HMICFRS inspection     </w:t>
            </w:r>
          </w:p>
          <w:p w14:paraId="1C95C6F9" w14:textId="77777777" w:rsidR="001672D6" w:rsidRDefault="001672D6" w:rsidP="001672D6">
            <w:pPr>
              <w:pStyle w:val="ListParagraph"/>
              <w:numPr>
                <w:ilvl w:val="0"/>
                <w:numId w:val="12"/>
              </w:numPr>
              <w:spacing w:line="276" w:lineRule="auto"/>
              <w:rPr>
                <w:rFonts w:ascii="Verdana" w:hAnsi="Verdana"/>
                <w:sz w:val="22"/>
                <w:szCs w:val="22"/>
              </w:rPr>
            </w:pPr>
            <w:r w:rsidRPr="008F66AE">
              <w:rPr>
                <w:rFonts w:ascii="Verdana" w:hAnsi="Verdana"/>
                <w:sz w:val="22"/>
                <w:szCs w:val="22"/>
              </w:rPr>
              <w:t>We support the Service and its employees, promoting high performance and continu</w:t>
            </w:r>
            <w:r>
              <w:rPr>
                <w:rFonts w:ascii="Verdana" w:hAnsi="Verdana"/>
                <w:sz w:val="22"/>
                <w:szCs w:val="22"/>
              </w:rPr>
              <w:t xml:space="preserve">ous </w:t>
            </w:r>
            <w:r w:rsidRPr="008F66AE">
              <w:rPr>
                <w:rFonts w:ascii="Verdana" w:hAnsi="Verdana"/>
                <w:sz w:val="22"/>
                <w:szCs w:val="22"/>
              </w:rPr>
              <w:t>improvement. Working collaboratively and inclusively, we ensure employees perform the best they can by supporting them to acquire, maintain and continuously develop the appropriate technical and professional skills and underpinning knowledge specific to their role</w:t>
            </w:r>
          </w:p>
          <w:p w14:paraId="2C3A39F5" w14:textId="77777777" w:rsidR="001672D6" w:rsidRDefault="001672D6" w:rsidP="001672D6">
            <w:pPr>
              <w:pStyle w:val="ListParagraph"/>
              <w:numPr>
                <w:ilvl w:val="0"/>
                <w:numId w:val="12"/>
              </w:numPr>
              <w:spacing w:line="276" w:lineRule="auto"/>
              <w:rPr>
                <w:rFonts w:ascii="Verdana" w:hAnsi="Verdana"/>
                <w:sz w:val="22"/>
                <w:szCs w:val="22"/>
              </w:rPr>
            </w:pPr>
            <w:r w:rsidRPr="00A97A9A">
              <w:rPr>
                <w:rFonts w:ascii="Verdana" w:hAnsi="Verdana"/>
                <w:sz w:val="22"/>
                <w:szCs w:val="22"/>
              </w:rPr>
              <w:t>All employees have an annual appraisal, where their commitment to their behaviours</w:t>
            </w:r>
            <w:r>
              <w:rPr>
                <w:rFonts w:ascii="Verdana" w:hAnsi="Verdana"/>
                <w:sz w:val="22"/>
                <w:szCs w:val="22"/>
              </w:rPr>
              <w:t>,</w:t>
            </w:r>
            <w:r w:rsidRPr="00A97A9A">
              <w:rPr>
                <w:rFonts w:ascii="Verdana" w:hAnsi="Verdana"/>
                <w:sz w:val="22"/>
                <w:szCs w:val="22"/>
              </w:rPr>
              <w:t xml:space="preserve"> linked to the </w:t>
            </w:r>
            <w:r>
              <w:rPr>
                <w:rFonts w:ascii="Verdana" w:hAnsi="Verdana"/>
                <w:sz w:val="22"/>
                <w:szCs w:val="22"/>
              </w:rPr>
              <w:t>Service</w:t>
            </w:r>
            <w:r w:rsidRPr="00A97A9A">
              <w:rPr>
                <w:rFonts w:ascii="Verdana" w:hAnsi="Verdana"/>
                <w:sz w:val="22"/>
                <w:szCs w:val="22"/>
              </w:rPr>
              <w:t>’s values</w:t>
            </w:r>
            <w:r>
              <w:rPr>
                <w:rFonts w:ascii="Verdana" w:hAnsi="Verdana"/>
                <w:sz w:val="22"/>
                <w:szCs w:val="22"/>
              </w:rPr>
              <w:t>,</w:t>
            </w:r>
            <w:r w:rsidRPr="00A97A9A">
              <w:rPr>
                <w:rFonts w:ascii="Verdana" w:hAnsi="Verdana"/>
                <w:sz w:val="22"/>
                <w:szCs w:val="22"/>
              </w:rPr>
              <w:t xml:space="preserve"> is an essential element. Quality assurance of appraisal returns is undertaken to identify themes, and to assist with </w:t>
            </w:r>
            <w:r>
              <w:rPr>
                <w:rFonts w:ascii="Verdana" w:hAnsi="Verdana"/>
                <w:sz w:val="22"/>
                <w:szCs w:val="22"/>
              </w:rPr>
              <w:t xml:space="preserve">any </w:t>
            </w:r>
            <w:r w:rsidRPr="00A97A9A">
              <w:rPr>
                <w:rFonts w:ascii="Verdana" w:hAnsi="Verdana"/>
                <w:sz w:val="22"/>
                <w:szCs w:val="22"/>
              </w:rPr>
              <w:t>training requirements</w:t>
            </w:r>
          </w:p>
          <w:p w14:paraId="50CE3343" w14:textId="77777777" w:rsidR="001672D6" w:rsidRPr="00A1123B" w:rsidRDefault="001672D6" w:rsidP="001672D6">
            <w:pPr>
              <w:pStyle w:val="ListParagraph"/>
              <w:numPr>
                <w:ilvl w:val="0"/>
                <w:numId w:val="12"/>
              </w:numPr>
              <w:spacing w:line="276" w:lineRule="auto"/>
              <w:rPr>
                <w:rFonts w:ascii="Verdana" w:hAnsi="Verdana"/>
                <w:sz w:val="22"/>
                <w:szCs w:val="22"/>
              </w:rPr>
            </w:pPr>
            <w:r w:rsidRPr="00F12C20">
              <w:rPr>
                <w:rFonts w:ascii="Verdana" w:hAnsi="Verdana"/>
                <w:sz w:val="22"/>
                <w:szCs w:val="22"/>
              </w:rPr>
              <w:t xml:space="preserve">The Training Needs Analysis (TNA) process assesses the need for </w:t>
            </w:r>
            <w:r>
              <w:rPr>
                <w:rFonts w:ascii="Verdana" w:hAnsi="Verdana"/>
                <w:sz w:val="22"/>
                <w:szCs w:val="22"/>
              </w:rPr>
              <w:t>employee</w:t>
            </w:r>
            <w:r w:rsidRPr="00F12C20">
              <w:rPr>
                <w:rFonts w:ascii="Verdana" w:hAnsi="Verdana"/>
                <w:sz w:val="22"/>
                <w:szCs w:val="22"/>
              </w:rPr>
              <w:t xml:space="preserve"> training at least annually. This TNA is translated into prioritised learning </w:t>
            </w:r>
            <w:proofErr w:type="spellStart"/>
            <w:r w:rsidRPr="00F12C20">
              <w:rPr>
                <w:rFonts w:ascii="Verdana" w:hAnsi="Verdana"/>
                <w:sz w:val="22"/>
                <w:szCs w:val="22"/>
              </w:rPr>
              <w:t>programmes</w:t>
            </w:r>
            <w:proofErr w:type="spellEnd"/>
            <w:r w:rsidRPr="00F12C20">
              <w:rPr>
                <w:rFonts w:ascii="Verdana" w:hAnsi="Verdana"/>
                <w:sz w:val="22"/>
                <w:szCs w:val="22"/>
              </w:rPr>
              <w:t>, approved by the Training Strategy Group (TSG</w:t>
            </w:r>
            <w:proofErr w:type="gramStart"/>
            <w:r w:rsidRPr="00F12C20">
              <w:rPr>
                <w:rFonts w:ascii="Verdana" w:hAnsi="Verdana"/>
                <w:sz w:val="22"/>
                <w:szCs w:val="22"/>
              </w:rPr>
              <w:t>)</w:t>
            </w:r>
            <w:proofErr w:type="gramEnd"/>
            <w:r w:rsidRPr="00F12C20">
              <w:rPr>
                <w:rFonts w:ascii="Verdana" w:hAnsi="Verdana"/>
                <w:sz w:val="22"/>
                <w:szCs w:val="22"/>
              </w:rPr>
              <w:t xml:space="preserve"> and scrutinised to ensure alignment with business priorities, business continuity succession plans and approved budgets. In April 2022, the TSG met to review the proposal for allocating funding against the 2022/23 TNA and were able to approve £220,000 of investment into </w:t>
            </w:r>
            <w:r>
              <w:rPr>
                <w:rFonts w:ascii="Verdana" w:hAnsi="Verdana"/>
                <w:sz w:val="22"/>
                <w:szCs w:val="22"/>
              </w:rPr>
              <w:t>employee</w:t>
            </w:r>
            <w:r w:rsidRPr="00F12C20">
              <w:rPr>
                <w:rFonts w:ascii="Verdana" w:hAnsi="Verdana"/>
                <w:sz w:val="22"/>
                <w:szCs w:val="22"/>
              </w:rPr>
              <w:t xml:space="preserve"> training</w:t>
            </w:r>
          </w:p>
        </w:tc>
      </w:tr>
    </w:tbl>
    <w:p w14:paraId="114B4696" w14:textId="77777777" w:rsidR="001672D6" w:rsidRDefault="001672D6" w:rsidP="001672D6">
      <w:pPr>
        <w:spacing w:after="0"/>
      </w:pPr>
    </w:p>
    <w:sectPr w:rsidR="001672D6" w:rsidSect="00A1123B">
      <w:pgSz w:w="16838" w:h="11906" w:orient="landscape"/>
      <w:pgMar w:top="1440" w:right="357"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5DD2" w14:textId="77777777" w:rsidR="002E4673" w:rsidRDefault="002E4673" w:rsidP="000E591A">
      <w:pPr>
        <w:spacing w:after="0" w:line="240" w:lineRule="auto"/>
      </w:pPr>
      <w:r>
        <w:separator/>
      </w:r>
    </w:p>
  </w:endnote>
  <w:endnote w:type="continuationSeparator" w:id="0">
    <w:p w14:paraId="0E9F8308" w14:textId="77777777" w:rsidR="002E4673" w:rsidRDefault="002E4673" w:rsidP="000E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utch">
    <w:altName w:val="Arial Rounded MT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358153"/>
      <w:docPartObj>
        <w:docPartGallery w:val="Page Numbers (Bottom of Page)"/>
        <w:docPartUnique/>
      </w:docPartObj>
    </w:sdtPr>
    <w:sdtEndPr>
      <w:rPr>
        <w:rFonts w:ascii="Verdana" w:hAnsi="Verdana"/>
        <w:noProof/>
        <w:sz w:val="20"/>
        <w:szCs w:val="20"/>
      </w:rPr>
    </w:sdtEndPr>
    <w:sdtContent>
      <w:p w14:paraId="0D910613" w14:textId="77777777" w:rsidR="0061285C" w:rsidRDefault="002E4673">
        <w:pPr>
          <w:pStyle w:val="Footer"/>
          <w:jc w:val="center"/>
          <w:rPr>
            <w:rFonts w:ascii="Verdana" w:hAnsi="Verdana"/>
            <w:noProof/>
            <w:sz w:val="20"/>
            <w:szCs w:val="20"/>
          </w:rPr>
        </w:pPr>
        <w:r w:rsidRPr="006250F1">
          <w:rPr>
            <w:rFonts w:ascii="Verdana" w:hAnsi="Verdana"/>
            <w:sz w:val="20"/>
            <w:szCs w:val="20"/>
          </w:rPr>
          <w:fldChar w:fldCharType="begin"/>
        </w:r>
        <w:r w:rsidRPr="006250F1">
          <w:rPr>
            <w:rFonts w:ascii="Verdana" w:hAnsi="Verdana"/>
            <w:sz w:val="20"/>
            <w:szCs w:val="20"/>
          </w:rPr>
          <w:instrText xml:space="preserve"> PAGE   \* MERGEFORMAT </w:instrText>
        </w:r>
        <w:r w:rsidRPr="006250F1">
          <w:rPr>
            <w:rFonts w:ascii="Verdana" w:hAnsi="Verdana"/>
            <w:sz w:val="20"/>
            <w:szCs w:val="20"/>
          </w:rPr>
          <w:fldChar w:fldCharType="separate"/>
        </w:r>
        <w:r>
          <w:rPr>
            <w:rFonts w:ascii="Verdana" w:hAnsi="Verdana"/>
            <w:noProof/>
            <w:sz w:val="20"/>
            <w:szCs w:val="20"/>
          </w:rPr>
          <w:t>18</w:t>
        </w:r>
        <w:r w:rsidRPr="006250F1">
          <w:rPr>
            <w:rFonts w:ascii="Verdana" w:hAnsi="Verdana"/>
            <w:noProof/>
            <w:sz w:val="20"/>
            <w:szCs w:val="20"/>
          </w:rPr>
          <w:fldChar w:fldCharType="end"/>
        </w:r>
      </w:p>
      <w:p w14:paraId="6048A492" w14:textId="60680497" w:rsidR="002E4673" w:rsidRPr="006250F1" w:rsidRDefault="001934B2" w:rsidP="0061285C">
        <w:pPr>
          <w:pStyle w:val="Footer"/>
          <w:rPr>
            <w:rFonts w:ascii="Verdana" w:hAnsi="Verdana"/>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5FA77" w14:textId="77777777" w:rsidR="002E4673" w:rsidRDefault="002E4673" w:rsidP="000E591A">
      <w:pPr>
        <w:spacing w:after="0" w:line="240" w:lineRule="auto"/>
      </w:pPr>
      <w:r>
        <w:separator/>
      </w:r>
    </w:p>
  </w:footnote>
  <w:footnote w:type="continuationSeparator" w:id="0">
    <w:p w14:paraId="5BF7D63C" w14:textId="77777777" w:rsidR="002E4673" w:rsidRDefault="002E4673" w:rsidP="000E5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5F68" w14:textId="77777777" w:rsidR="002E4673" w:rsidRPr="00820E8C" w:rsidRDefault="002E4673" w:rsidP="00A1123B">
    <w:pPr>
      <w:tabs>
        <w:tab w:val="left" w:pos="4896"/>
        <w:tab w:val="right" w:pos="5430"/>
      </w:tabs>
      <w:ind w:left="567" w:right="-246"/>
      <w:rPr>
        <w:b/>
        <w:noProof/>
        <w:sz w:val="44"/>
        <w:lang w:eastAsia="en-GB"/>
      </w:rPr>
    </w:pPr>
    <w:r>
      <w:rPr>
        <w:b/>
        <w:noProof/>
        <w:sz w:val="44"/>
        <w:lang w:eastAsia="en-GB"/>
      </w:rPr>
      <mc:AlternateContent>
        <mc:Choice Requires="wps">
          <w:drawing>
            <wp:anchor distT="0" distB="0" distL="114300" distR="114300" simplePos="0" relativeHeight="251660288" behindDoc="1" locked="0" layoutInCell="1" allowOverlap="1" wp14:anchorId="23C9F8FC" wp14:editId="1661959F">
              <wp:simplePos x="0" y="0"/>
              <wp:positionH relativeFrom="column">
                <wp:posOffset>-1352550</wp:posOffset>
              </wp:positionH>
              <wp:positionV relativeFrom="paragraph">
                <wp:posOffset>-449580</wp:posOffset>
              </wp:positionV>
              <wp:extent cx="11744325" cy="1115060"/>
              <wp:effectExtent l="0" t="0" r="9525" b="8890"/>
              <wp:wrapNone/>
              <wp:docPr id="7" name="Text Box 7"/>
              <wp:cNvGraphicFramePr/>
              <a:graphic xmlns:a="http://schemas.openxmlformats.org/drawingml/2006/main">
                <a:graphicData uri="http://schemas.microsoft.com/office/word/2010/wordprocessingShape">
                  <wps:wsp>
                    <wps:cNvSpPr txBox="1"/>
                    <wps:spPr>
                      <a:xfrm>
                        <a:off x="0" y="0"/>
                        <a:ext cx="11744325" cy="1115060"/>
                      </a:xfrm>
                      <a:prstGeom prst="rect">
                        <a:avLst/>
                      </a:prstGeom>
                      <a:solidFill>
                        <a:srgbClr val="071738"/>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F488F" w14:textId="2568F438" w:rsidR="002E4673" w:rsidRPr="007C321A" w:rsidRDefault="002E4673" w:rsidP="00A1123B">
                          <w:pPr>
                            <w:spacing w:before="567" w:after="120" w:line="240" w:lineRule="auto"/>
                            <w:ind w:left="1560" w:right="567"/>
                            <w:rPr>
                              <w:rFonts w:ascii="Verdana" w:hAnsi="Verdana"/>
                              <w:b/>
                              <w:color w:val="F2F2F2" w:themeColor="background1" w:themeShade="F2"/>
                              <w:sz w:val="32"/>
                              <w:szCs w:val="32"/>
                              <w14:textOutline w14:w="9525" w14:cap="rnd" w14:cmpd="sng" w14:algn="ctr">
                                <w14:solidFill>
                                  <w14:schemeClr w14:val="bg1">
                                    <w14:lumMod w14:val="95000"/>
                                  </w14:schemeClr>
                                </w14:solidFill>
                                <w14:prstDash w14:val="solid"/>
                                <w14:bevel/>
                              </w14:textOutline>
                            </w:rPr>
                          </w:pPr>
                          <w:r w:rsidRPr="007C321A">
                            <w:rPr>
                              <w:rFonts w:ascii="Verdana" w:hAnsi="Verdana"/>
                              <w:b/>
                              <w:color w:val="F2F2F2" w:themeColor="background1" w:themeShade="F2"/>
                              <w:sz w:val="32"/>
                              <w:szCs w:val="32"/>
                              <w14:textOutline w14:w="9525" w14:cap="rnd" w14:cmpd="sng" w14:algn="ctr">
                                <w14:solidFill>
                                  <w14:schemeClr w14:val="bg1">
                                    <w14:lumMod w14:val="95000"/>
                                  </w14:schemeClr>
                                </w14:solidFill>
                                <w14:prstDash w14:val="solid"/>
                                <w14:bevel/>
                              </w14:textOutline>
                            </w:rPr>
                            <w:t xml:space="preserve">   Gender Pay Gap Report 202</w:t>
                          </w:r>
                          <w:r w:rsidR="00117378">
                            <w:rPr>
                              <w:rFonts w:ascii="Verdana" w:hAnsi="Verdana"/>
                              <w:b/>
                              <w:color w:val="F2F2F2" w:themeColor="background1" w:themeShade="F2"/>
                              <w:sz w:val="32"/>
                              <w:szCs w:val="32"/>
                              <w14:textOutline w14:w="9525" w14:cap="rnd" w14:cmpd="sng" w14:algn="ctr">
                                <w14:solidFill>
                                  <w14:schemeClr w14:val="bg1">
                                    <w14:lumMod w14:val="95000"/>
                                  </w14:schemeClr>
                                </w14:solidFill>
                                <w14:prstDash w14:val="solid"/>
                                <w14:bevel/>
                              </w14:textOutline>
                            </w:rPr>
                            <w:t>2</w:t>
                          </w:r>
                        </w:p>
                        <w:p w14:paraId="618F8511" w14:textId="77777777" w:rsidR="002E4673" w:rsidRPr="001616C4" w:rsidRDefault="002E4673" w:rsidP="005503BC">
                          <w:pPr>
                            <w:spacing w:before="567" w:after="120" w:line="240" w:lineRule="auto"/>
                            <w:ind w:left="567" w:right="567"/>
                            <w:rPr>
                              <w:rFonts w:ascii="Verdana" w:hAnsi="Verdana"/>
                              <w:b/>
                              <w:color w:val="F2F2F2" w:themeColor="background1" w:themeShade="F2"/>
                              <w:sz w:val="36"/>
                              <w:szCs w:val="44"/>
                              <w14:textOutline w14:w="9525" w14:cap="rnd" w14:cmpd="sng" w14:algn="ctr">
                                <w14:solidFill>
                                  <w14:schemeClr w14:val="bg1">
                                    <w14:lumMod w14:val="95000"/>
                                  </w14:schemeClr>
                                </w14:solidFill>
                                <w14:prstDash w14:val="solid"/>
                                <w14:bevel/>
                              </w14:textOutline>
                            </w:rPr>
                          </w:pPr>
                        </w:p>
                        <w:p w14:paraId="59F0C553" w14:textId="77777777" w:rsidR="002E4673" w:rsidRPr="006A4AF4" w:rsidRDefault="002E4673" w:rsidP="005503BC">
                          <w:pPr>
                            <w:spacing w:before="567" w:after="120" w:line="240" w:lineRule="auto"/>
                            <w:ind w:left="567" w:right="567"/>
                            <w:rPr>
                              <w:rFonts w:ascii="Verdana" w:hAnsi="Verdana"/>
                              <w:b/>
                              <w:color w:val="F2F2F2" w:themeColor="background1" w:themeShade="F2"/>
                              <w:sz w:val="44"/>
                              <w:szCs w:val="44"/>
                              <w14:textOutline w14:w="9525" w14:cap="rnd" w14:cmpd="sng" w14:algn="ctr">
                                <w14:solidFill>
                                  <w14:schemeClr w14:val="bg1">
                                    <w14:lumMod w14:val="9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9F8FC" id="_x0000_t202" coordsize="21600,21600" o:spt="202" path="m,l,21600r21600,l21600,xe">
              <v:stroke joinstyle="miter"/>
              <v:path gradientshapeok="t" o:connecttype="rect"/>
            </v:shapetype>
            <v:shape id="Text Box 7" o:spid="_x0000_s1026" type="#_x0000_t202" style="position:absolute;left:0;text-align:left;margin-left:-106.5pt;margin-top:-35.4pt;width:924.75pt;height:8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" fillcolor="#071738" stroked="f" strokeweight=".5pt">
              <v:textbox>
                <w:txbxContent>
                  <w:p w14:paraId="49FF488F" w14:textId="2568F438" w:rsidR="002E4673" w:rsidRPr="007C321A" w:rsidRDefault="002E4673" w:rsidP="00A1123B">
                    <w:pPr>
                      <w:spacing w:before="567" w:after="120" w:line="240" w:lineRule="auto"/>
                      <w:ind w:left="1560" w:right="567"/>
                      <w:rPr>
                        <w:rFonts w:ascii="Verdana" w:hAnsi="Verdana"/>
                        <w:b/>
                        <w:color w:val="F2F2F2" w:themeColor="background1" w:themeShade="F2"/>
                        <w:sz w:val="32"/>
                        <w:szCs w:val="32"/>
                        <w14:textOutline w14:w="9525" w14:cap="rnd" w14:cmpd="sng" w14:algn="ctr">
                          <w14:solidFill>
                            <w14:schemeClr w14:val="bg1">
                              <w14:lumMod w14:val="95000"/>
                            </w14:schemeClr>
                          </w14:solidFill>
                          <w14:prstDash w14:val="solid"/>
                          <w14:bevel/>
                        </w14:textOutline>
                      </w:rPr>
                    </w:pPr>
                    <w:r w:rsidRPr="007C321A">
                      <w:rPr>
                        <w:rFonts w:ascii="Verdana" w:hAnsi="Verdana"/>
                        <w:b/>
                        <w:color w:val="F2F2F2" w:themeColor="background1" w:themeShade="F2"/>
                        <w:sz w:val="32"/>
                        <w:szCs w:val="32"/>
                        <w14:textOutline w14:w="9525" w14:cap="rnd" w14:cmpd="sng" w14:algn="ctr">
                          <w14:solidFill>
                            <w14:schemeClr w14:val="bg1">
                              <w14:lumMod w14:val="95000"/>
                            </w14:schemeClr>
                          </w14:solidFill>
                          <w14:prstDash w14:val="solid"/>
                          <w14:bevel/>
                        </w14:textOutline>
                      </w:rPr>
                      <w:t xml:space="preserve">   Gender Pay Gap Report 202</w:t>
                    </w:r>
                    <w:r w:rsidR="00117378">
                      <w:rPr>
                        <w:rFonts w:ascii="Verdana" w:hAnsi="Verdana"/>
                        <w:b/>
                        <w:color w:val="F2F2F2" w:themeColor="background1" w:themeShade="F2"/>
                        <w:sz w:val="32"/>
                        <w:szCs w:val="32"/>
                        <w14:textOutline w14:w="9525" w14:cap="rnd" w14:cmpd="sng" w14:algn="ctr">
                          <w14:solidFill>
                            <w14:schemeClr w14:val="bg1">
                              <w14:lumMod w14:val="95000"/>
                            </w14:schemeClr>
                          </w14:solidFill>
                          <w14:prstDash w14:val="solid"/>
                          <w14:bevel/>
                        </w14:textOutline>
                      </w:rPr>
                      <w:t>2</w:t>
                    </w:r>
                  </w:p>
                  <w:p w14:paraId="618F8511" w14:textId="77777777" w:rsidR="002E4673" w:rsidRPr="001616C4" w:rsidRDefault="002E4673" w:rsidP="005503BC">
                    <w:pPr>
                      <w:spacing w:before="567" w:after="120" w:line="240" w:lineRule="auto"/>
                      <w:ind w:left="567" w:right="567"/>
                      <w:rPr>
                        <w:rFonts w:ascii="Verdana" w:hAnsi="Verdana"/>
                        <w:b/>
                        <w:color w:val="F2F2F2" w:themeColor="background1" w:themeShade="F2"/>
                        <w:sz w:val="36"/>
                        <w:szCs w:val="44"/>
                        <w14:textOutline w14:w="9525" w14:cap="rnd" w14:cmpd="sng" w14:algn="ctr">
                          <w14:solidFill>
                            <w14:schemeClr w14:val="bg1">
                              <w14:lumMod w14:val="95000"/>
                            </w14:schemeClr>
                          </w14:solidFill>
                          <w14:prstDash w14:val="solid"/>
                          <w14:bevel/>
                        </w14:textOutline>
                      </w:rPr>
                    </w:pPr>
                  </w:p>
                  <w:p w14:paraId="59F0C553" w14:textId="77777777" w:rsidR="002E4673" w:rsidRPr="006A4AF4" w:rsidRDefault="002E4673" w:rsidP="005503BC">
                    <w:pPr>
                      <w:spacing w:before="567" w:after="120" w:line="240" w:lineRule="auto"/>
                      <w:ind w:left="567" w:right="567"/>
                      <w:rPr>
                        <w:rFonts w:ascii="Verdana" w:hAnsi="Verdana"/>
                        <w:b/>
                        <w:color w:val="F2F2F2" w:themeColor="background1" w:themeShade="F2"/>
                        <w:sz w:val="44"/>
                        <w:szCs w:val="44"/>
                        <w14:textOutline w14:w="9525" w14:cap="rnd" w14:cmpd="sng" w14:algn="ctr">
                          <w14:solidFill>
                            <w14:schemeClr w14:val="bg1">
                              <w14:lumMod w14:val="95000"/>
                            </w14:schemeClr>
                          </w14:solidFill>
                          <w14:prstDash w14:val="solid"/>
                          <w14:bevel/>
                        </w14:textOutline>
                      </w:rPr>
                    </w:pPr>
                  </w:p>
                </w:txbxContent>
              </v:textbox>
            </v:shape>
          </w:pict>
        </mc:Fallback>
      </mc:AlternateContent>
    </w:r>
    <w:r>
      <w:rPr>
        <w:noProof/>
        <w:lang w:eastAsia="en-GB"/>
      </w:rPr>
      <w:drawing>
        <wp:anchor distT="0" distB="0" distL="114300" distR="114300" simplePos="0" relativeHeight="251662336" behindDoc="0" locked="0" layoutInCell="1" allowOverlap="1" wp14:anchorId="38B59F79" wp14:editId="2AB3ACF7">
          <wp:simplePos x="0" y="0"/>
          <wp:positionH relativeFrom="column">
            <wp:posOffset>3781425</wp:posOffset>
          </wp:positionH>
          <wp:positionV relativeFrom="paragraph">
            <wp:posOffset>-525780</wp:posOffset>
          </wp:positionV>
          <wp:extent cx="2857500" cy="1191260"/>
          <wp:effectExtent l="0" t="0" r="6350" b="8890"/>
          <wp:wrapSquare wrapText="bothSides"/>
          <wp:docPr id="2" name="Picture 2" descr="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k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191260"/>
                  </a:xfrm>
                  <a:prstGeom prst="rect">
                    <a:avLst/>
                  </a:prstGeom>
                  <a:noFill/>
                </pic:spPr>
              </pic:pic>
            </a:graphicData>
          </a:graphic>
          <wp14:sizeRelH relativeFrom="page">
            <wp14:pctWidth>0</wp14:pctWidth>
          </wp14:sizeRelH>
          <wp14:sizeRelV relativeFrom="page">
            <wp14:pctHeight>0</wp14:pctHeight>
          </wp14:sizeRelV>
        </wp:anchor>
      </w:drawing>
    </w:r>
    <w:r>
      <w:rPr>
        <w:b/>
        <w:noProof/>
        <w:sz w:val="44"/>
        <w:lang w:eastAsia="en-GB"/>
      </w:rPr>
      <w:t xml:space="preserve"> </w:t>
    </w:r>
  </w:p>
  <w:p w14:paraId="338317A3" w14:textId="77777777" w:rsidR="002E4673" w:rsidRDefault="002E4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B37"/>
    <w:multiLevelType w:val="hybridMultilevel"/>
    <w:tmpl w:val="7A78F0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87A5A"/>
    <w:multiLevelType w:val="hybridMultilevel"/>
    <w:tmpl w:val="62AE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C1497"/>
    <w:multiLevelType w:val="hybridMultilevel"/>
    <w:tmpl w:val="1C3A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A509F"/>
    <w:multiLevelType w:val="hybridMultilevel"/>
    <w:tmpl w:val="44B4FE14"/>
    <w:lvl w:ilvl="0" w:tplc="08090001">
      <w:start w:val="1"/>
      <w:numFmt w:val="bullet"/>
      <w:lvlText w:val=""/>
      <w:lvlJc w:val="left"/>
      <w:pPr>
        <w:ind w:left="1224" w:hanging="360"/>
      </w:pPr>
      <w:rPr>
        <w:rFonts w:ascii="Symbol" w:hAnsi="Symbol" w:hint="default"/>
        <w:sz w:val="22"/>
        <w:szCs w:val="22"/>
      </w:rPr>
    </w:lvl>
    <w:lvl w:ilvl="1" w:tplc="08090003">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4" w15:restartNumberingAfterBreak="0">
    <w:nsid w:val="19061DDD"/>
    <w:multiLevelType w:val="hybridMultilevel"/>
    <w:tmpl w:val="F88A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72DA3"/>
    <w:multiLevelType w:val="hybridMultilevel"/>
    <w:tmpl w:val="738E9A9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6" w15:restartNumberingAfterBreak="0">
    <w:nsid w:val="28544B7C"/>
    <w:multiLevelType w:val="hybridMultilevel"/>
    <w:tmpl w:val="37028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545EF1"/>
    <w:multiLevelType w:val="hybridMultilevel"/>
    <w:tmpl w:val="2FFC5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33394A"/>
    <w:multiLevelType w:val="hybridMultilevel"/>
    <w:tmpl w:val="FB6E48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61870"/>
    <w:multiLevelType w:val="hybridMultilevel"/>
    <w:tmpl w:val="C2027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3B67FB"/>
    <w:multiLevelType w:val="hybridMultilevel"/>
    <w:tmpl w:val="9ED60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D001F"/>
    <w:multiLevelType w:val="hybridMultilevel"/>
    <w:tmpl w:val="5AE8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DF0EDC"/>
    <w:multiLevelType w:val="hybridMultilevel"/>
    <w:tmpl w:val="6F9AE2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63700C89"/>
    <w:multiLevelType w:val="hybridMultilevel"/>
    <w:tmpl w:val="09ECEB3C"/>
    <w:lvl w:ilvl="0" w:tplc="DDFA824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52878"/>
    <w:multiLevelType w:val="hybridMultilevel"/>
    <w:tmpl w:val="E9A0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65AB1"/>
    <w:multiLevelType w:val="hybridMultilevel"/>
    <w:tmpl w:val="FA80B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ACD4BCF"/>
    <w:multiLevelType w:val="hybridMultilevel"/>
    <w:tmpl w:val="1C9A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9"/>
  </w:num>
  <w:num w:numId="5">
    <w:abstractNumId w:val="10"/>
  </w:num>
  <w:num w:numId="6">
    <w:abstractNumId w:val="14"/>
  </w:num>
  <w:num w:numId="7">
    <w:abstractNumId w:val="7"/>
  </w:num>
  <w:num w:numId="8">
    <w:abstractNumId w:val="15"/>
  </w:num>
  <w:num w:numId="9">
    <w:abstractNumId w:val="16"/>
  </w:num>
  <w:num w:numId="10">
    <w:abstractNumId w:val="13"/>
  </w:num>
  <w:num w:numId="11">
    <w:abstractNumId w:val="5"/>
  </w:num>
  <w:num w:numId="12">
    <w:abstractNumId w:val="0"/>
  </w:num>
  <w:num w:numId="13">
    <w:abstractNumId w:val="8"/>
  </w:num>
  <w:num w:numId="14">
    <w:abstractNumId w:val="3"/>
  </w:num>
  <w:num w:numId="15">
    <w:abstractNumId w:val="12"/>
  </w:num>
  <w:num w:numId="16">
    <w:abstractNumId w:val="6"/>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1A"/>
    <w:rsid w:val="0000150A"/>
    <w:rsid w:val="00002ABB"/>
    <w:rsid w:val="00003D5B"/>
    <w:rsid w:val="00005F78"/>
    <w:rsid w:val="000102A5"/>
    <w:rsid w:val="000120F2"/>
    <w:rsid w:val="00015329"/>
    <w:rsid w:val="00016B52"/>
    <w:rsid w:val="000176D7"/>
    <w:rsid w:val="0002719B"/>
    <w:rsid w:val="00027516"/>
    <w:rsid w:val="000354B6"/>
    <w:rsid w:val="00043AE2"/>
    <w:rsid w:val="00052544"/>
    <w:rsid w:val="00055530"/>
    <w:rsid w:val="00060937"/>
    <w:rsid w:val="000621F1"/>
    <w:rsid w:val="000655AB"/>
    <w:rsid w:val="00067246"/>
    <w:rsid w:val="00067AD7"/>
    <w:rsid w:val="00067B96"/>
    <w:rsid w:val="00070DD8"/>
    <w:rsid w:val="000718C4"/>
    <w:rsid w:val="00072B2D"/>
    <w:rsid w:val="0007476A"/>
    <w:rsid w:val="00075381"/>
    <w:rsid w:val="00082137"/>
    <w:rsid w:val="000840F5"/>
    <w:rsid w:val="00085D0E"/>
    <w:rsid w:val="00087359"/>
    <w:rsid w:val="00087EC4"/>
    <w:rsid w:val="000914B7"/>
    <w:rsid w:val="000921D2"/>
    <w:rsid w:val="00092A5C"/>
    <w:rsid w:val="00094EDA"/>
    <w:rsid w:val="000962F1"/>
    <w:rsid w:val="00097791"/>
    <w:rsid w:val="000A5C72"/>
    <w:rsid w:val="000A61F0"/>
    <w:rsid w:val="000A7D6E"/>
    <w:rsid w:val="000B05E7"/>
    <w:rsid w:val="000B1663"/>
    <w:rsid w:val="000D6984"/>
    <w:rsid w:val="000E2966"/>
    <w:rsid w:val="000E591A"/>
    <w:rsid w:val="000E7090"/>
    <w:rsid w:val="000F2690"/>
    <w:rsid w:val="000F3B05"/>
    <w:rsid w:val="000F3B25"/>
    <w:rsid w:val="000F7030"/>
    <w:rsid w:val="000F7C57"/>
    <w:rsid w:val="00103C89"/>
    <w:rsid w:val="0010675C"/>
    <w:rsid w:val="00107133"/>
    <w:rsid w:val="001113C2"/>
    <w:rsid w:val="00112E8E"/>
    <w:rsid w:val="0011443F"/>
    <w:rsid w:val="00115A45"/>
    <w:rsid w:val="00115A7A"/>
    <w:rsid w:val="00116C90"/>
    <w:rsid w:val="00117378"/>
    <w:rsid w:val="00124E5D"/>
    <w:rsid w:val="00127D15"/>
    <w:rsid w:val="00136223"/>
    <w:rsid w:val="001460FC"/>
    <w:rsid w:val="001512DE"/>
    <w:rsid w:val="0015194F"/>
    <w:rsid w:val="00151C58"/>
    <w:rsid w:val="001534EE"/>
    <w:rsid w:val="00155BDE"/>
    <w:rsid w:val="00156486"/>
    <w:rsid w:val="00160CE6"/>
    <w:rsid w:val="001616C4"/>
    <w:rsid w:val="00162BE1"/>
    <w:rsid w:val="00165BC9"/>
    <w:rsid w:val="001672D6"/>
    <w:rsid w:val="00167A1B"/>
    <w:rsid w:val="0018300D"/>
    <w:rsid w:val="0018430E"/>
    <w:rsid w:val="00186B72"/>
    <w:rsid w:val="00187C7C"/>
    <w:rsid w:val="001934B2"/>
    <w:rsid w:val="001A1C37"/>
    <w:rsid w:val="001A2D8C"/>
    <w:rsid w:val="001A7626"/>
    <w:rsid w:val="001B02CF"/>
    <w:rsid w:val="001B0960"/>
    <w:rsid w:val="001B1FA4"/>
    <w:rsid w:val="001B42EA"/>
    <w:rsid w:val="001B5F6B"/>
    <w:rsid w:val="001C490E"/>
    <w:rsid w:val="001C7B65"/>
    <w:rsid w:val="001D1CA8"/>
    <w:rsid w:val="001E6398"/>
    <w:rsid w:val="001F1FB0"/>
    <w:rsid w:val="001F4C05"/>
    <w:rsid w:val="001F56CF"/>
    <w:rsid w:val="00201860"/>
    <w:rsid w:val="00202D50"/>
    <w:rsid w:val="0021295B"/>
    <w:rsid w:val="00220BF6"/>
    <w:rsid w:val="00221338"/>
    <w:rsid w:val="002218E8"/>
    <w:rsid w:val="00223680"/>
    <w:rsid w:val="00225C80"/>
    <w:rsid w:val="00230943"/>
    <w:rsid w:val="00231C8E"/>
    <w:rsid w:val="00231CE4"/>
    <w:rsid w:val="00234873"/>
    <w:rsid w:val="00234B12"/>
    <w:rsid w:val="002378AB"/>
    <w:rsid w:val="002409FA"/>
    <w:rsid w:val="0024777D"/>
    <w:rsid w:val="00247D0B"/>
    <w:rsid w:val="00251AFB"/>
    <w:rsid w:val="00252DB3"/>
    <w:rsid w:val="002544D7"/>
    <w:rsid w:val="00254E5D"/>
    <w:rsid w:val="00255610"/>
    <w:rsid w:val="00264DBC"/>
    <w:rsid w:val="00266D03"/>
    <w:rsid w:val="00266F6E"/>
    <w:rsid w:val="00273035"/>
    <w:rsid w:val="00280464"/>
    <w:rsid w:val="00291F49"/>
    <w:rsid w:val="002937D5"/>
    <w:rsid w:val="00294D8D"/>
    <w:rsid w:val="002A0009"/>
    <w:rsid w:val="002A0922"/>
    <w:rsid w:val="002A41AD"/>
    <w:rsid w:val="002A6AB9"/>
    <w:rsid w:val="002A7DEC"/>
    <w:rsid w:val="002C0D27"/>
    <w:rsid w:val="002C1328"/>
    <w:rsid w:val="002C1F74"/>
    <w:rsid w:val="002C2A47"/>
    <w:rsid w:val="002C683B"/>
    <w:rsid w:val="002C6FF5"/>
    <w:rsid w:val="002C7949"/>
    <w:rsid w:val="002D1208"/>
    <w:rsid w:val="002D3607"/>
    <w:rsid w:val="002D6119"/>
    <w:rsid w:val="002D69F8"/>
    <w:rsid w:val="002E3E0D"/>
    <w:rsid w:val="002E4673"/>
    <w:rsid w:val="002E5FEB"/>
    <w:rsid w:val="002E737E"/>
    <w:rsid w:val="002E78C1"/>
    <w:rsid w:val="002F3138"/>
    <w:rsid w:val="002F6228"/>
    <w:rsid w:val="002F6811"/>
    <w:rsid w:val="0030114B"/>
    <w:rsid w:val="00302149"/>
    <w:rsid w:val="00306537"/>
    <w:rsid w:val="0030758B"/>
    <w:rsid w:val="00311E14"/>
    <w:rsid w:val="0031622D"/>
    <w:rsid w:val="00326A1D"/>
    <w:rsid w:val="00327157"/>
    <w:rsid w:val="00330376"/>
    <w:rsid w:val="00334FBC"/>
    <w:rsid w:val="003359AD"/>
    <w:rsid w:val="0034308C"/>
    <w:rsid w:val="00343C19"/>
    <w:rsid w:val="00344A2E"/>
    <w:rsid w:val="00344E90"/>
    <w:rsid w:val="003514F3"/>
    <w:rsid w:val="00363F21"/>
    <w:rsid w:val="00363FB9"/>
    <w:rsid w:val="003647A7"/>
    <w:rsid w:val="0036654D"/>
    <w:rsid w:val="00372CBA"/>
    <w:rsid w:val="0037397E"/>
    <w:rsid w:val="00376F5B"/>
    <w:rsid w:val="003806F3"/>
    <w:rsid w:val="00383B1C"/>
    <w:rsid w:val="003862F1"/>
    <w:rsid w:val="0038676F"/>
    <w:rsid w:val="00390186"/>
    <w:rsid w:val="00392B9C"/>
    <w:rsid w:val="00395133"/>
    <w:rsid w:val="00395EE7"/>
    <w:rsid w:val="003974A2"/>
    <w:rsid w:val="003A1356"/>
    <w:rsid w:val="003B0095"/>
    <w:rsid w:val="003B1964"/>
    <w:rsid w:val="003B36DF"/>
    <w:rsid w:val="003B56DC"/>
    <w:rsid w:val="003B66A7"/>
    <w:rsid w:val="003C251D"/>
    <w:rsid w:val="003C45EC"/>
    <w:rsid w:val="003C5253"/>
    <w:rsid w:val="003C5FAC"/>
    <w:rsid w:val="003C6650"/>
    <w:rsid w:val="003C69B4"/>
    <w:rsid w:val="003D36A9"/>
    <w:rsid w:val="003D5A7D"/>
    <w:rsid w:val="003D5DFB"/>
    <w:rsid w:val="003D60AF"/>
    <w:rsid w:val="003D64E0"/>
    <w:rsid w:val="003E355A"/>
    <w:rsid w:val="003E3666"/>
    <w:rsid w:val="003E4595"/>
    <w:rsid w:val="003F2EA6"/>
    <w:rsid w:val="00401625"/>
    <w:rsid w:val="00402118"/>
    <w:rsid w:val="0040635A"/>
    <w:rsid w:val="00406624"/>
    <w:rsid w:val="00410B3E"/>
    <w:rsid w:val="00412D12"/>
    <w:rsid w:val="00412D7F"/>
    <w:rsid w:val="00415671"/>
    <w:rsid w:val="00416998"/>
    <w:rsid w:val="0042069F"/>
    <w:rsid w:val="0042156C"/>
    <w:rsid w:val="00422B6F"/>
    <w:rsid w:val="00426F63"/>
    <w:rsid w:val="00431823"/>
    <w:rsid w:val="00431AC9"/>
    <w:rsid w:val="00431D66"/>
    <w:rsid w:val="004327C1"/>
    <w:rsid w:val="004360D8"/>
    <w:rsid w:val="004423A4"/>
    <w:rsid w:val="004435C6"/>
    <w:rsid w:val="00447270"/>
    <w:rsid w:val="00453773"/>
    <w:rsid w:val="00455723"/>
    <w:rsid w:val="0045588E"/>
    <w:rsid w:val="0045793D"/>
    <w:rsid w:val="00460405"/>
    <w:rsid w:val="004605F4"/>
    <w:rsid w:val="004610B4"/>
    <w:rsid w:val="004613F7"/>
    <w:rsid w:val="004618E1"/>
    <w:rsid w:val="00464780"/>
    <w:rsid w:val="00471895"/>
    <w:rsid w:val="0047370E"/>
    <w:rsid w:val="00473FFC"/>
    <w:rsid w:val="00474F1F"/>
    <w:rsid w:val="004753D5"/>
    <w:rsid w:val="00476509"/>
    <w:rsid w:val="00477238"/>
    <w:rsid w:val="00480A37"/>
    <w:rsid w:val="004824A8"/>
    <w:rsid w:val="004849D4"/>
    <w:rsid w:val="0048543C"/>
    <w:rsid w:val="00487877"/>
    <w:rsid w:val="004915C6"/>
    <w:rsid w:val="00492F76"/>
    <w:rsid w:val="004951EB"/>
    <w:rsid w:val="00497F8A"/>
    <w:rsid w:val="004A0D98"/>
    <w:rsid w:val="004A2CF4"/>
    <w:rsid w:val="004A3080"/>
    <w:rsid w:val="004A7474"/>
    <w:rsid w:val="004B7B3B"/>
    <w:rsid w:val="004C2606"/>
    <w:rsid w:val="004C44F3"/>
    <w:rsid w:val="004C5077"/>
    <w:rsid w:val="004C5867"/>
    <w:rsid w:val="004C6E0A"/>
    <w:rsid w:val="004C72F6"/>
    <w:rsid w:val="004D2299"/>
    <w:rsid w:val="004D23EE"/>
    <w:rsid w:val="004D4118"/>
    <w:rsid w:val="004D450E"/>
    <w:rsid w:val="004D4A3E"/>
    <w:rsid w:val="004D4F1C"/>
    <w:rsid w:val="004D5906"/>
    <w:rsid w:val="004E71BD"/>
    <w:rsid w:val="004E7409"/>
    <w:rsid w:val="004F517D"/>
    <w:rsid w:val="004F6417"/>
    <w:rsid w:val="00500616"/>
    <w:rsid w:val="00501137"/>
    <w:rsid w:val="00502009"/>
    <w:rsid w:val="005032C2"/>
    <w:rsid w:val="00507F4B"/>
    <w:rsid w:val="00510138"/>
    <w:rsid w:val="00511C66"/>
    <w:rsid w:val="00513CDE"/>
    <w:rsid w:val="00515264"/>
    <w:rsid w:val="0051710C"/>
    <w:rsid w:val="00520D4F"/>
    <w:rsid w:val="00520DD3"/>
    <w:rsid w:val="00523ECC"/>
    <w:rsid w:val="00525348"/>
    <w:rsid w:val="0052670D"/>
    <w:rsid w:val="00526BCF"/>
    <w:rsid w:val="005324C2"/>
    <w:rsid w:val="005359B8"/>
    <w:rsid w:val="00540C04"/>
    <w:rsid w:val="00541ECD"/>
    <w:rsid w:val="00546C89"/>
    <w:rsid w:val="00547765"/>
    <w:rsid w:val="00547DE8"/>
    <w:rsid w:val="005503BC"/>
    <w:rsid w:val="00554A89"/>
    <w:rsid w:val="00563249"/>
    <w:rsid w:val="005679D7"/>
    <w:rsid w:val="00570FC1"/>
    <w:rsid w:val="005712B3"/>
    <w:rsid w:val="00571CBC"/>
    <w:rsid w:val="005737BD"/>
    <w:rsid w:val="00575005"/>
    <w:rsid w:val="00575725"/>
    <w:rsid w:val="0057625C"/>
    <w:rsid w:val="00585DF4"/>
    <w:rsid w:val="00586340"/>
    <w:rsid w:val="00586B59"/>
    <w:rsid w:val="00592B4E"/>
    <w:rsid w:val="005935E9"/>
    <w:rsid w:val="00594DF5"/>
    <w:rsid w:val="005965DD"/>
    <w:rsid w:val="005A789A"/>
    <w:rsid w:val="005A7971"/>
    <w:rsid w:val="005B256A"/>
    <w:rsid w:val="005B3419"/>
    <w:rsid w:val="005B46CB"/>
    <w:rsid w:val="005B7B46"/>
    <w:rsid w:val="005C10D9"/>
    <w:rsid w:val="005C7208"/>
    <w:rsid w:val="005D3FAA"/>
    <w:rsid w:val="005D553F"/>
    <w:rsid w:val="005E58AB"/>
    <w:rsid w:val="005E6EAF"/>
    <w:rsid w:val="005F073B"/>
    <w:rsid w:val="005F1755"/>
    <w:rsid w:val="005F1AA3"/>
    <w:rsid w:val="005F775F"/>
    <w:rsid w:val="005F7D4E"/>
    <w:rsid w:val="00602D0F"/>
    <w:rsid w:val="00606CDF"/>
    <w:rsid w:val="0061285C"/>
    <w:rsid w:val="006208FF"/>
    <w:rsid w:val="00621840"/>
    <w:rsid w:val="00621C13"/>
    <w:rsid w:val="006250F1"/>
    <w:rsid w:val="00630530"/>
    <w:rsid w:val="006308FC"/>
    <w:rsid w:val="00630D48"/>
    <w:rsid w:val="00645BDD"/>
    <w:rsid w:val="0065156C"/>
    <w:rsid w:val="00654B5A"/>
    <w:rsid w:val="006556C7"/>
    <w:rsid w:val="00661B04"/>
    <w:rsid w:val="00663289"/>
    <w:rsid w:val="006709F9"/>
    <w:rsid w:val="0068253D"/>
    <w:rsid w:val="00682EAF"/>
    <w:rsid w:val="0068422F"/>
    <w:rsid w:val="00684B1E"/>
    <w:rsid w:val="0068548D"/>
    <w:rsid w:val="0068549E"/>
    <w:rsid w:val="0069197C"/>
    <w:rsid w:val="00696E4E"/>
    <w:rsid w:val="00697A3D"/>
    <w:rsid w:val="00697F2A"/>
    <w:rsid w:val="006A21CE"/>
    <w:rsid w:val="006A4AF4"/>
    <w:rsid w:val="006A4C11"/>
    <w:rsid w:val="006B1D58"/>
    <w:rsid w:val="006B67E5"/>
    <w:rsid w:val="006C2991"/>
    <w:rsid w:val="006C3486"/>
    <w:rsid w:val="006C42B8"/>
    <w:rsid w:val="006D0BED"/>
    <w:rsid w:val="006D24B6"/>
    <w:rsid w:val="006D552C"/>
    <w:rsid w:val="006D60E7"/>
    <w:rsid w:val="006D6254"/>
    <w:rsid w:val="006D6E43"/>
    <w:rsid w:val="006E02CE"/>
    <w:rsid w:val="006E0F24"/>
    <w:rsid w:val="006E24C8"/>
    <w:rsid w:val="006E464D"/>
    <w:rsid w:val="006E515C"/>
    <w:rsid w:val="006F25B6"/>
    <w:rsid w:val="006F3071"/>
    <w:rsid w:val="006F346E"/>
    <w:rsid w:val="006F5077"/>
    <w:rsid w:val="006F53B5"/>
    <w:rsid w:val="006F75AF"/>
    <w:rsid w:val="00715F1C"/>
    <w:rsid w:val="00720F73"/>
    <w:rsid w:val="00721CBB"/>
    <w:rsid w:val="0072291A"/>
    <w:rsid w:val="00724CC4"/>
    <w:rsid w:val="007321C1"/>
    <w:rsid w:val="00732454"/>
    <w:rsid w:val="0073271D"/>
    <w:rsid w:val="00732BC1"/>
    <w:rsid w:val="00737643"/>
    <w:rsid w:val="00737BC4"/>
    <w:rsid w:val="00737E21"/>
    <w:rsid w:val="0074345E"/>
    <w:rsid w:val="00743AC3"/>
    <w:rsid w:val="007467CF"/>
    <w:rsid w:val="00751662"/>
    <w:rsid w:val="007610EB"/>
    <w:rsid w:val="00761C5D"/>
    <w:rsid w:val="00766705"/>
    <w:rsid w:val="0078040E"/>
    <w:rsid w:val="00780415"/>
    <w:rsid w:val="007918EE"/>
    <w:rsid w:val="00791C33"/>
    <w:rsid w:val="007935E3"/>
    <w:rsid w:val="007A1CA7"/>
    <w:rsid w:val="007A2F5C"/>
    <w:rsid w:val="007A7B38"/>
    <w:rsid w:val="007B2D98"/>
    <w:rsid w:val="007B5BE5"/>
    <w:rsid w:val="007B5E6A"/>
    <w:rsid w:val="007B7E90"/>
    <w:rsid w:val="007C321A"/>
    <w:rsid w:val="007C3278"/>
    <w:rsid w:val="007D1280"/>
    <w:rsid w:val="007D4EAB"/>
    <w:rsid w:val="007D7966"/>
    <w:rsid w:val="007E368B"/>
    <w:rsid w:val="007E41FC"/>
    <w:rsid w:val="007E44C9"/>
    <w:rsid w:val="007E6DD1"/>
    <w:rsid w:val="007E76BB"/>
    <w:rsid w:val="007E785B"/>
    <w:rsid w:val="007E7DB7"/>
    <w:rsid w:val="007F0A2D"/>
    <w:rsid w:val="007F0D2E"/>
    <w:rsid w:val="007F17B2"/>
    <w:rsid w:val="007F3C7F"/>
    <w:rsid w:val="007F6224"/>
    <w:rsid w:val="007F68E5"/>
    <w:rsid w:val="007F798E"/>
    <w:rsid w:val="008037EC"/>
    <w:rsid w:val="0080519D"/>
    <w:rsid w:val="008072CD"/>
    <w:rsid w:val="00807804"/>
    <w:rsid w:val="0081193D"/>
    <w:rsid w:val="008151D3"/>
    <w:rsid w:val="008226DC"/>
    <w:rsid w:val="00827F3E"/>
    <w:rsid w:val="00830554"/>
    <w:rsid w:val="00832C57"/>
    <w:rsid w:val="0083713F"/>
    <w:rsid w:val="008378B6"/>
    <w:rsid w:val="0084750D"/>
    <w:rsid w:val="008478BE"/>
    <w:rsid w:val="00847F2D"/>
    <w:rsid w:val="00862250"/>
    <w:rsid w:val="00864A79"/>
    <w:rsid w:val="0086791D"/>
    <w:rsid w:val="0087209A"/>
    <w:rsid w:val="008759B5"/>
    <w:rsid w:val="0087668C"/>
    <w:rsid w:val="00877247"/>
    <w:rsid w:val="0088181A"/>
    <w:rsid w:val="008855D8"/>
    <w:rsid w:val="00885866"/>
    <w:rsid w:val="00887BE0"/>
    <w:rsid w:val="008907BD"/>
    <w:rsid w:val="008950F9"/>
    <w:rsid w:val="008976D2"/>
    <w:rsid w:val="008A069B"/>
    <w:rsid w:val="008B42E9"/>
    <w:rsid w:val="008C48A1"/>
    <w:rsid w:val="008C6002"/>
    <w:rsid w:val="008D0406"/>
    <w:rsid w:val="008D0CC8"/>
    <w:rsid w:val="008D1D35"/>
    <w:rsid w:val="008D2C80"/>
    <w:rsid w:val="008D3214"/>
    <w:rsid w:val="008D3AC7"/>
    <w:rsid w:val="008D62B3"/>
    <w:rsid w:val="008E2D22"/>
    <w:rsid w:val="008E427D"/>
    <w:rsid w:val="008E7D3D"/>
    <w:rsid w:val="008F66AE"/>
    <w:rsid w:val="008F6F4E"/>
    <w:rsid w:val="00902B91"/>
    <w:rsid w:val="00902F97"/>
    <w:rsid w:val="0090344E"/>
    <w:rsid w:val="009047D8"/>
    <w:rsid w:val="0091027A"/>
    <w:rsid w:val="009106C2"/>
    <w:rsid w:val="00915AD3"/>
    <w:rsid w:val="00921464"/>
    <w:rsid w:val="00923135"/>
    <w:rsid w:val="00925E05"/>
    <w:rsid w:val="00930185"/>
    <w:rsid w:val="009307EF"/>
    <w:rsid w:val="009318AD"/>
    <w:rsid w:val="009322E0"/>
    <w:rsid w:val="00933320"/>
    <w:rsid w:val="009349DF"/>
    <w:rsid w:val="00936974"/>
    <w:rsid w:val="00942A63"/>
    <w:rsid w:val="00944443"/>
    <w:rsid w:val="0094477E"/>
    <w:rsid w:val="00946641"/>
    <w:rsid w:val="00950888"/>
    <w:rsid w:val="00952388"/>
    <w:rsid w:val="00952923"/>
    <w:rsid w:val="00955C58"/>
    <w:rsid w:val="0095623C"/>
    <w:rsid w:val="009564EA"/>
    <w:rsid w:val="00964C7D"/>
    <w:rsid w:val="0097002C"/>
    <w:rsid w:val="00974FD6"/>
    <w:rsid w:val="009871AE"/>
    <w:rsid w:val="00993639"/>
    <w:rsid w:val="009A0274"/>
    <w:rsid w:val="009A353B"/>
    <w:rsid w:val="009A398F"/>
    <w:rsid w:val="009A3FEF"/>
    <w:rsid w:val="009A4F10"/>
    <w:rsid w:val="009A5E4E"/>
    <w:rsid w:val="009A6D66"/>
    <w:rsid w:val="009A7060"/>
    <w:rsid w:val="009A7868"/>
    <w:rsid w:val="009B0032"/>
    <w:rsid w:val="009B1C30"/>
    <w:rsid w:val="009B29F3"/>
    <w:rsid w:val="009B2C4D"/>
    <w:rsid w:val="009B4684"/>
    <w:rsid w:val="009C1065"/>
    <w:rsid w:val="009C15FA"/>
    <w:rsid w:val="009C1B3B"/>
    <w:rsid w:val="009C48ED"/>
    <w:rsid w:val="009C760F"/>
    <w:rsid w:val="009D0453"/>
    <w:rsid w:val="009D0F65"/>
    <w:rsid w:val="009D12A2"/>
    <w:rsid w:val="009D7AF6"/>
    <w:rsid w:val="009E2AF4"/>
    <w:rsid w:val="009E36E4"/>
    <w:rsid w:val="009E7579"/>
    <w:rsid w:val="009F137F"/>
    <w:rsid w:val="009F350C"/>
    <w:rsid w:val="009F6706"/>
    <w:rsid w:val="009F7BA6"/>
    <w:rsid w:val="00A013D8"/>
    <w:rsid w:val="00A035EC"/>
    <w:rsid w:val="00A039EF"/>
    <w:rsid w:val="00A03B38"/>
    <w:rsid w:val="00A066DA"/>
    <w:rsid w:val="00A1123B"/>
    <w:rsid w:val="00A126DC"/>
    <w:rsid w:val="00A150C8"/>
    <w:rsid w:val="00A16B88"/>
    <w:rsid w:val="00A206D7"/>
    <w:rsid w:val="00A20BE2"/>
    <w:rsid w:val="00A2406C"/>
    <w:rsid w:val="00A25CD5"/>
    <w:rsid w:val="00A26A4A"/>
    <w:rsid w:val="00A34242"/>
    <w:rsid w:val="00A34784"/>
    <w:rsid w:val="00A4092C"/>
    <w:rsid w:val="00A457BD"/>
    <w:rsid w:val="00A47085"/>
    <w:rsid w:val="00A5070A"/>
    <w:rsid w:val="00A52223"/>
    <w:rsid w:val="00A531E8"/>
    <w:rsid w:val="00A5681B"/>
    <w:rsid w:val="00A63302"/>
    <w:rsid w:val="00A63AC9"/>
    <w:rsid w:val="00A63B53"/>
    <w:rsid w:val="00A7376B"/>
    <w:rsid w:val="00A8666B"/>
    <w:rsid w:val="00A87E49"/>
    <w:rsid w:val="00A90E41"/>
    <w:rsid w:val="00A93AF6"/>
    <w:rsid w:val="00A94B4B"/>
    <w:rsid w:val="00A94CA9"/>
    <w:rsid w:val="00A955F0"/>
    <w:rsid w:val="00A95AD5"/>
    <w:rsid w:val="00AA3203"/>
    <w:rsid w:val="00AA4D28"/>
    <w:rsid w:val="00AA507E"/>
    <w:rsid w:val="00AB69AF"/>
    <w:rsid w:val="00AC1BE9"/>
    <w:rsid w:val="00AC4B9B"/>
    <w:rsid w:val="00AC56BE"/>
    <w:rsid w:val="00AC68B3"/>
    <w:rsid w:val="00AC7931"/>
    <w:rsid w:val="00AC7E7C"/>
    <w:rsid w:val="00AD4249"/>
    <w:rsid w:val="00AD47A0"/>
    <w:rsid w:val="00AD4FEA"/>
    <w:rsid w:val="00AD62AD"/>
    <w:rsid w:val="00AD73A1"/>
    <w:rsid w:val="00AF223F"/>
    <w:rsid w:val="00AF5955"/>
    <w:rsid w:val="00AF7AF7"/>
    <w:rsid w:val="00B00AC6"/>
    <w:rsid w:val="00B0418B"/>
    <w:rsid w:val="00B05BE2"/>
    <w:rsid w:val="00B10EB2"/>
    <w:rsid w:val="00B11BA7"/>
    <w:rsid w:val="00B21A55"/>
    <w:rsid w:val="00B21EF4"/>
    <w:rsid w:val="00B43A7A"/>
    <w:rsid w:val="00B51CF9"/>
    <w:rsid w:val="00B51DDD"/>
    <w:rsid w:val="00B54867"/>
    <w:rsid w:val="00B57760"/>
    <w:rsid w:val="00B64008"/>
    <w:rsid w:val="00B641FA"/>
    <w:rsid w:val="00B64B23"/>
    <w:rsid w:val="00B65F6F"/>
    <w:rsid w:val="00B67315"/>
    <w:rsid w:val="00B718A0"/>
    <w:rsid w:val="00B72B7C"/>
    <w:rsid w:val="00B72DED"/>
    <w:rsid w:val="00B75E09"/>
    <w:rsid w:val="00B779BE"/>
    <w:rsid w:val="00B83300"/>
    <w:rsid w:val="00B85581"/>
    <w:rsid w:val="00B86D43"/>
    <w:rsid w:val="00B907C1"/>
    <w:rsid w:val="00B93F21"/>
    <w:rsid w:val="00B950F1"/>
    <w:rsid w:val="00B96688"/>
    <w:rsid w:val="00B97B2C"/>
    <w:rsid w:val="00BA069D"/>
    <w:rsid w:val="00BA1EBF"/>
    <w:rsid w:val="00BA51D0"/>
    <w:rsid w:val="00BA6250"/>
    <w:rsid w:val="00BB20F2"/>
    <w:rsid w:val="00BB3BC5"/>
    <w:rsid w:val="00BB5822"/>
    <w:rsid w:val="00BB63EE"/>
    <w:rsid w:val="00BD360A"/>
    <w:rsid w:val="00BD439F"/>
    <w:rsid w:val="00BD4B6F"/>
    <w:rsid w:val="00BD52FE"/>
    <w:rsid w:val="00BE066E"/>
    <w:rsid w:val="00BE2D2C"/>
    <w:rsid w:val="00BE4F68"/>
    <w:rsid w:val="00BE5BD8"/>
    <w:rsid w:val="00BE74E0"/>
    <w:rsid w:val="00BF024B"/>
    <w:rsid w:val="00BF19A5"/>
    <w:rsid w:val="00BF2152"/>
    <w:rsid w:val="00BF4900"/>
    <w:rsid w:val="00BF6AF7"/>
    <w:rsid w:val="00C03A10"/>
    <w:rsid w:val="00C041F9"/>
    <w:rsid w:val="00C050A0"/>
    <w:rsid w:val="00C06663"/>
    <w:rsid w:val="00C07BAE"/>
    <w:rsid w:val="00C12707"/>
    <w:rsid w:val="00C14628"/>
    <w:rsid w:val="00C151F8"/>
    <w:rsid w:val="00C16655"/>
    <w:rsid w:val="00C16B6C"/>
    <w:rsid w:val="00C200A0"/>
    <w:rsid w:val="00C2021A"/>
    <w:rsid w:val="00C20B18"/>
    <w:rsid w:val="00C218A8"/>
    <w:rsid w:val="00C23C58"/>
    <w:rsid w:val="00C24686"/>
    <w:rsid w:val="00C35D98"/>
    <w:rsid w:val="00C4114B"/>
    <w:rsid w:val="00C46F7D"/>
    <w:rsid w:val="00C50FEE"/>
    <w:rsid w:val="00C51E3B"/>
    <w:rsid w:val="00C54C52"/>
    <w:rsid w:val="00C56B48"/>
    <w:rsid w:val="00C615A2"/>
    <w:rsid w:val="00C6166A"/>
    <w:rsid w:val="00C6260E"/>
    <w:rsid w:val="00C65A4B"/>
    <w:rsid w:val="00C67FEF"/>
    <w:rsid w:val="00C75EEC"/>
    <w:rsid w:val="00C7724A"/>
    <w:rsid w:val="00C80DCB"/>
    <w:rsid w:val="00C82D42"/>
    <w:rsid w:val="00C84E5E"/>
    <w:rsid w:val="00C87154"/>
    <w:rsid w:val="00C934FD"/>
    <w:rsid w:val="00CA0889"/>
    <w:rsid w:val="00CA18EA"/>
    <w:rsid w:val="00CA2397"/>
    <w:rsid w:val="00CA693F"/>
    <w:rsid w:val="00CB0ECF"/>
    <w:rsid w:val="00CB7FA7"/>
    <w:rsid w:val="00CD0C60"/>
    <w:rsid w:val="00CD5885"/>
    <w:rsid w:val="00CD7167"/>
    <w:rsid w:val="00CE652F"/>
    <w:rsid w:val="00CF0834"/>
    <w:rsid w:val="00CF1243"/>
    <w:rsid w:val="00CF2392"/>
    <w:rsid w:val="00CF2458"/>
    <w:rsid w:val="00CF4B9C"/>
    <w:rsid w:val="00CF7919"/>
    <w:rsid w:val="00D01044"/>
    <w:rsid w:val="00D064A2"/>
    <w:rsid w:val="00D064B5"/>
    <w:rsid w:val="00D105F0"/>
    <w:rsid w:val="00D20866"/>
    <w:rsid w:val="00D266CE"/>
    <w:rsid w:val="00D268A3"/>
    <w:rsid w:val="00D33D03"/>
    <w:rsid w:val="00D373AF"/>
    <w:rsid w:val="00D405C5"/>
    <w:rsid w:val="00D4077D"/>
    <w:rsid w:val="00D4314F"/>
    <w:rsid w:val="00D459D4"/>
    <w:rsid w:val="00D65696"/>
    <w:rsid w:val="00D66FCC"/>
    <w:rsid w:val="00D717D7"/>
    <w:rsid w:val="00D724DA"/>
    <w:rsid w:val="00D84259"/>
    <w:rsid w:val="00D85C05"/>
    <w:rsid w:val="00D92495"/>
    <w:rsid w:val="00D95631"/>
    <w:rsid w:val="00D967B2"/>
    <w:rsid w:val="00DA19DC"/>
    <w:rsid w:val="00DA230C"/>
    <w:rsid w:val="00DA3BC5"/>
    <w:rsid w:val="00DA61B0"/>
    <w:rsid w:val="00DA73F2"/>
    <w:rsid w:val="00DB4400"/>
    <w:rsid w:val="00DC4224"/>
    <w:rsid w:val="00DD07F5"/>
    <w:rsid w:val="00DD5BE8"/>
    <w:rsid w:val="00DE13AC"/>
    <w:rsid w:val="00DE29D1"/>
    <w:rsid w:val="00DE53D1"/>
    <w:rsid w:val="00DF05A5"/>
    <w:rsid w:val="00DF061D"/>
    <w:rsid w:val="00DF084B"/>
    <w:rsid w:val="00DF24D7"/>
    <w:rsid w:val="00DF26FA"/>
    <w:rsid w:val="00DF2A61"/>
    <w:rsid w:val="00DF624B"/>
    <w:rsid w:val="00DF7395"/>
    <w:rsid w:val="00DF7915"/>
    <w:rsid w:val="00E000D4"/>
    <w:rsid w:val="00E02502"/>
    <w:rsid w:val="00E0385D"/>
    <w:rsid w:val="00E06293"/>
    <w:rsid w:val="00E175EF"/>
    <w:rsid w:val="00E241EE"/>
    <w:rsid w:val="00E2647C"/>
    <w:rsid w:val="00E27F83"/>
    <w:rsid w:val="00E32838"/>
    <w:rsid w:val="00E34DED"/>
    <w:rsid w:val="00E37286"/>
    <w:rsid w:val="00E37F60"/>
    <w:rsid w:val="00E4018E"/>
    <w:rsid w:val="00E40C49"/>
    <w:rsid w:val="00E40F38"/>
    <w:rsid w:val="00E41357"/>
    <w:rsid w:val="00E42F92"/>
    <w:rsid w:val="00E44432"/>
    <w:rsid w:val="00E469FF"/>
    <w:rsid w:val="00E46CD9"/>
    <w:rsid w:val="00E562F3"/>
    <w:rsid w:val="00E60138"/>
    <w:rsid w:val="00E6500D"/>
    <w:rsid w:val="00E65024"/>
    <w:rsid w:val="00E6783A"/>
    <w:rsid w:val="00E715E6"/>
    <w:rsid w:val="00E728DC"/>
    <w:rsid w:val="00E7390F"/>
    <w:rsid w:val="00E73D2A"/>
    <w:rsid w:val="00E744D9"/>
    <w:rsid w:val="00E745E3"/>
    <w:rsid w:val="00E746BF"/>
    <w:rsid w:val="00E75409"/>
    <w:rsid w:val="00E76C3F"/>
    <w:rsid w:val="00E8071F"/>
    <w:rsid w:val="00E858F4"/>
    <w:rsid w:val="00E85F25"/>
    <w:rsid w:val="00E876AA"/>
    <w:rsid w:val="00E87B8A"/>
    <w:rsid w:val="00E917FE"/>
    <w:rsid w:val="00E929AE"/>
    <w:rsid w:val="00E95257"/>
    <w:rsid w:val="00EA3ABE"/>
    <w:rsid w:val="00EA4152"/>
    <w:rsid w:val="00EB3436"/>
    <w:rsid w:val="00EC0847"/>
    <w:rsid w:val="00EC1564"/>
    <w:rsid w:val="00EC1C90"/>
    <w:rsid w:val="00EC5526"/>
    <w:rsid w:val="00ED512B"/>
    <w:rsid w:val="00ED7D4C"/>
    <w:rsid w:val="00EE146A"/>
    <w:rsid w:val="00EE4182"/>
    <w:rsid w:val="00EF1585"/>
    <w:rsid w:val="00EF5016"/>
    <w:rsid w:val="00EF66B4"/>
    <w:rsid w:val="00EF74E7"/>
    <w:rsid w:val="00EF7AD1"/>
    <w:rsid w:val="00F0613B"/>
    <w:rsid w:val="00F12639"/>
    <w:rsid w:val="00F15AFF"/>
    <w:rsid w:val="00F17FDB"/>
    <w:rsid w:val="00F22997"/>
    <w:rsid w:val="00F24B58"/>
    <w:rsid w:val="00F258EE"/>
    <w:rsid w:val="00F2760A"/>
    <w:rsid w:val="00F33EA4"/>
    <w:rsid w:val="00F33F75"/>
    <w:rsid w:val="00F3408B"/>
    <w:rsid w:val="00F373CB"/>
    <w:rsid w:val="00F44D8A"/>
    <w:rsid w:val="00F46DEB"/>
    <w:rsid w:val="00F47138"/>
    <w:rsid w:val="00F474B7"/>
    <w:rsid w:val="00F626C1"/>
    <w:rsid w:val="00F63C5B"/>
    <w:rsid w:val="00F669C5"/>
    <w:rsid w:val="00F70A31"/>
    <w:rsid w:val="00F73E67"/>
    <w:rsid w:val="00F74631"/>
    <w:rsid w:val="00F8689E"/>
    <w:rsid w:val="00F944A5"/>
    <w:rsid w:val="00F95CDD"/>
    <w:rsid w:val="00F97FAD"/>
    <w:rsid w:val="00F97FE4"/>
    <w:rsid w:val="00FA0B16"/>
    <w:rsid w:val="00FB061F"/>
    <w:rsid w:val="00FB0F3A"/>
    <w:rsid w:val="00FB2356"/>
    <w:rsid w:val="00FB2675"/>
    <w:rsid w:val="00FB37AD"/>
    <w:rsid w:val="00FC0851"/>
    <w:rsid w:val="00FC3561"/>
    <w:rsid w:val="00FC35AF"/>
    <w:rsid w:val="00FC5DED"/>
    <w:rsid w:val="00FC6055"/>
    <w:rsid w:val="00FD0EE5"/>
    <w:rsid w:val="00FD28FB"/>
    <w:rsid w:val="00FD7EB0"/>
    <w:rsid w:val="00FE1860"/>
    <w:rsid w:val="00FF30EA"/>
    <w:rsid w:val="00FF6D73"/>
    <w:rsid w:val="00FF7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BFD0472"/>
  <w15:docId w15:val="{74EA3B77-9F11-4E21-B342-7EDB9527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F4"/>
  </w:style>
  <w:style w:type="paragraph" w:styleId="Heading1">
    <w:name w:val="heading 1"/>
    <w:basedOn w:val="Normal"/>
    <w:next w:val="Normal"/>
    <w:link w:val="Heading1Char"/>
    <w:qFormat/>
    <w:rsid w:val="00C56B4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C56B48"/>
    <w:pPr>
      <w:keepNext/>
      <w:widowControl w:val="0"/>
      <w:tabs>
        <w:tab w:val="left" w:pos="-720"/>
      </w:tabs>
      <w:suppressAutoHyphens/>
      <w:autoSpaceDE w:val="0"/>
      <w:autoSpaceDN w:val="0"/>
      <w:adjustRightInd w:val="0"/>
      <w:spacing w:after="0" w:line="360" w:lineRule="atLeast"/>
      <w:ind w:left="720"/>
      <w:jc w:val="both"/>
      <w:textAlignment w:val="baseline"/>
      <w:outlineLvl w:val="1"/>
    </w:pPr>
    <w:rPr>
      <w:rFonts w:ascii="Arial" w:eastAsia="Times New Roman" w:hAnsi="Arial" w:cs="Arial"/>
      <w:spacing w:val="-3"/>
      <w:sz w:val="24"/>
      <w:szCs w:val="24"/>
    </w:rPr>
  </w:style>
  <w:style w:type="paragraph" w:styleId="Heading3">
    <w:name w:val="heading 3"/>
    <w:basedOn w:val="Normal"/>
    <w:next w:val="Normal"/>
    <w:link w:val="Heading3Char"/>
    <w:qFormat/>
    <w:rsid w:val="00C56B48"/>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C56B48"/>
    <w:pPr>
      <w:keepNext/>
      <w:widowControl w:val="0"/>
      <w:tabs>
        <w:tab w:val="left" w:pos="720"/>
      </w:tabs>
      <w:adjustRightInd w:val="0"/>
      <w:spacing w:after="0" w:line="360" w:lineRule="atLeast"/>
      <w:jc w:val="both"/>
      <w:textAlignment w:val="baseline"/>
      <w:outlineLvl w:val="3"/>
    </w:pPr>
    <w:rPr>
      <w:rFonts w:ascii="Arial" w:eastAsia="Times New Roman" w:hAnsi="Arial" w:cs="Arial"/>
      <w:b/>
      <w:bCs/>
      <w:color w:val="000000"/>
      <w:sz w:val="20"/>
      <w:szCs w:val="20"/>
    </w:rPr>
  </w:style>
  <w:style w:type="paragraph" w:styleId="Heading5">
    <w:name w:val="heading 5"/>
    <w:basedOn w:val="Normal"/>
    <w:next w:val="Normal"/>
    <w:link w:val="Heading5Char"/>
    <w:semiHidden/>
    <w:unhideWhenUsed/>
    <w:qFormat/>
    <w:rsid w:val="00C56B48"/>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56B48"/>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56B48"/>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56B48"/>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C56B48"/>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B4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C56B48"/>
    <w:rPr>
      <w:rFonts w:ascii="Arial" w:eastAsia="Times New Roman" w:hAnsi="Arial" w:cs="Arial"/>
      <w:spacing w:val="-3"/>
      <w:sz w:val="24"/>
      <w:szCs w:val="24"/>
    </w:rPr>
  </w:style>
  <w:style w:type="character" w:customStyle="1" w:styleId="Heading3Char">
    <w:name w:val="Heading 3 Char"/>
    <w:basedOn w:val="DefaultParagraphFont"/>
    <w:link w:val="Heading3"/>
    <w:rsid w:val="00C56B4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56B48"/>
    <w:rPr>
      <w:rFonts w:ascii="Arial" w:eastAsia="Times New Roman" w:hAnsi="Arial" w:cs="Arial"/>
      <w:b/>
      <w:bCs/>
      <w:color w:val="000000"/>
      <w:sz w:val="20"/>
      <w:szCs w:val="20"/>
    </w:rPr>
  </w:style>
  <w:style w:type="character" w:customStyle="1" w:styleId="Heading5Char">
    <w:name w:val="Heading 5 Char"/>
    <w:basedOn w:val="DefaultParagraphFont"/>
    <w:link w:val="Heading5"/>
    <w:semiHidden/>
    <w:rsid w:val="00C56B48"/>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0E591A"/>
    <w:pPr>
      <w:widowControl w:val="0"/>
      <w:adjustRightInd w:val="0"/>
      <w:spacing w:before="120" w:after="0" w:line="360" w:lineRule="atLeast"/>
      <w:jc w:val="both"/>
      <w:textAlignment w:val="baseline"/>
    </w:pPr>
    <w:rPr>
      <w:rFonts w:ascii="Arial" w:eastAsia="Times New Roman" w:hAnsi="Arial" w:cs="Arial"/>
      <w:sz w:val="20"/>
      <w:szCs w:val="24"/>
    </w:rPr>
  </w:style>
  <w:style w:type="character" w:customStyle="1" w:styleId="BodyTextChar">
    <w:name w:val="Body Text Char"/>
    <w:basedOn w:val="DefaultParagraphFont"/>
    <w:link w:val="BodyText"/>
    <w:uiPriority w:val="99"/>
    <w:rsid w:val="000E591A"/>
    <w:rPr>
      <w:rFonts w:ascii="Arial" w:eastAsia="Times New Roman" w:hAnsi="Arial" w:cs="Arial"/>
      <w:sz w:val="20"/>
      <w:szCs w:val="24"/>
    </w:rPr>
  </w:style>
  <w:style w:type="paragraph" w:styleId="Header">
    <w:name w:val="header"/>
    <w:basedOn w:val="Normal"/>
    <w:link w:val="HeaderChar"/>
    <w:uiPriority w:val="99"/>
    <w:unhideWhenUsed/>
    <w:rsid w:val="000E5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91A"/>
  </w:style>
  <w:style w:type="paragraph" w:styleId="Footer">
    <w:name w:val="footer"/>
    <w:basedOn w:val="Normal"/>
    <w:link w:val="FooterChar"/>
    <w:uiPriority w:val="99"/>
    <w:unhideWhenUsed/>
    <w:rsid w:val="000E5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91A"/>
  </w:style>
  <w:style w:type="paragraph" w:styleId="BalloonText">
    <w:name w:val="Balloon Text"/>
    <w:basedOn w:val="Normal"/>
    <w:link w:val="BalloonTextChar"/>
    <w:unhideWhenUsed/>
    <w:rsid w:val="000E5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E591A"/>
    <w:rPr>
      <w:rFonts w:ascii="Tahoma" w:hAnsi="Tahoma" w:cs="Tahoma"/>
      <w:sz w:val="16"/>
      <w:szCs w:val="16"/>
    </w:rPr>
  </w:style>
  <w:style w:type="paragraph" w:styleId="ListParagraph">
    <w:name w:val="List Paragraph"/>
    <w:basedOn w:val="Normal"/>
    <w:uiPriority w:val="34"/>
    <w:qFormat/>
    <w:rsid w:val="002544D7"/>
    <w:pPr>
      <w:ind w:left="720"/>
      <w:contextualSpacing/>
    </w:pPr>
  </w:style>
  <w:style w:type="character" w:customStyle="1" w:styleId="Heading6Char">
    <w:name w:val="Heading 6 Char"/>
    <w:basedOn w:val="DefaultParagraphFont"/>
    <w:link w:val="Heading6"/>
    <w:semiHidden/>
    <w:rsid w:val="00C56B4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C56B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C56B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56B4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C56B4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C56B48"/>
    <w:pPr>
      <w:spacing w:after="0" w:line="240" w:lineRule="auto"/>
      <w:jc w:val="center"/>
    </w:pPr>
    <w:rPr>
      <w:rFonts w:ascii="Arial" w:eastAsia="Times New Roman" w:hAnsi="Arial" w:cs="Arial"/>
      <w:b/>
      <w:bCs/>
      <w:sz w:val="20"/>
      <w:szCs w:val="24"/>
      <w:u w:val="single"/>
    </w:rPr>
  </w:style>
  <w:style w:type="character" w:customStyle="1" w:styleId="TitleChar">
    <w:name w:val="Title Char"/>
    <w:basedOn w:val="DefaultParagraphFont"/>
    <w:link w:val="Title"/>
    <w:uiPriority w:val="99"/>
    <w:rsid w:val="00C56B48"/>
    <w:rPr>
      <w:rFonts w:ascii="Arial" w:eastAsia="Times New Roman" w:hAnsi="Arial" w:cs="Arial"/>
      <w:b/>
      <w:bCs/>
      <w:sz w:val="20"/>
      <w:szCs w:val="24"/>
      <w:u w:val="single"/>
    </w:rPr>
  </w:style>
  <w:style w:type="character" w:styleId="Hyperlink">
    <w:name w:val="Hyperlink"/>
    <w:basedOn w:val="DefaultParagraphFont"/>
    <w:uiPriority w:val="99"/>
    <w:rsid w:val="00C56B48"/>
    <w:rPr>
      <w:rFonts w:cs="Times New Roman"/>
      <w:color w:val="0000FF"/>
      <w:u w:val="single"/>
    </w:rPr>
  </w:style>
  <w:style w:type="paragraph" w:styleId="NormalWeb">
    <w:name w:val="Normal (Web)"/>
    <w:basedOn w:val="Normal"/>
    <w:rsid w:val="00C56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6B48"/>
    <w:rPr>
      <w:rFonts w:cs="Times New Roman"/>
      <w:b/>
      <w:bCs/>
    </w:rPr>
  </w:style>
  <w:style w:type="character" w:customStyle="1" w:styleId="CommentTextChar">
    <w:name w:val="Comment Text Char"/>
    <w:basedOn w:val="DefaultParagraphFont"/>
    <w:link w:val="CommentText"/>
    <w:uiPriority w:val="99"/>
    <w:semiHidden/>
    <w:rsid w:val="00C56B48"/>
    <w:rPr>
      <w:rFonts w:ascii="Calibri" w:eastAsia="Calibri" w:hAnsi="Calibri" w:cs="Times New Roman"/>
      <w:sz w:val="20"/>
      <w:szCs w:val="20"/>
    </w:rPr>
  </w:style>
  <w:style w:type="paragraph" w:styleId="CommentText">
    <w:name w:val="annotation text"/>
    <w:basedOn w:val="Normal"/>
    <w:link w:val="CommentTextChar"/>
    <w:uiPriority w:val="99"/>
    <w:semiHidden/>
    <w:rsid w:val="00C56B48"/>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C56B48"/>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C56B48"/>
    <w:rPr>
      <w:b/>
      <w:bCs/>
    </w:rPr>
  </w:style>
  <w:style w:type="paragraph" w:styleId="BodyText3">
    <w:name w:val="Body Text 3"/>
    <w:basedOn w:val="Normal"/>
    <w:link w:val="BodyText3Char"/>
    <w:uiPriority w:val="99"/>
    <w:rsid w:val="00C56B4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C56B48"/>
    <w:rPr>
      <w:rFonts w:ascii="Calibri" w:eastAsia="Calibri" w:hAnsi="Calibri" w:cs="Times New Roman"/>
      <w:sz w:val="16"/>
      <w:szCs w:val="16"/>
    </w:rPr>
  </w:style>
  <w:style w:type="paragraph" w:styleId="BodyTextIndent">
    <w:name w:val="Body Text Indent"/>
    <w:basedOn w:val="Normal"/>
    <w:link w:val="BodyTextIndentChar"/>
    <w:rsid w:val="00C56B48"/>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rsid w:val="00C56B48"/>
    <w:rPr>
      <w:rFonts w:ascii="Calibri" w:eastAsia="Calibri" w:hAnsi="Calibri" w:cs="Times New Roman"/>
    </w:rPr>
  </w:style>
  <w:style w:type="paragraph" w:customStyle="1" w:styleId="Default">
    <w:name w:val="Default"/>
    <w:rsid w:val="00C56B48"/>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A7">
    <w:name w:val="A7"/>
    <w:uiPriority w:val="99"/>
    <w:rsid w:val="00C56B48"/>
    <w:rPr>
      <w:b/>
      <w:color w:val="000000"/>
      <w:sz w:val="26"/>
    </w:rPr>
  </w:style>
  <w:style w:type="character" w:styleId="PageNumber">
    <w:name w:val="page number"/>
    <w:basedOn w:val="DefaultParagraphFont"/>
    <w:rsid w:val="00C56B48"/>
  </w:style>
  <w:style w:type="paragraph" w:styleId="BodyTextIndent3">
    <w:name w:val="Body Text Indent 3"/>
    <w:basedOn w:val="Normal"/>
    <w:link w:val="BodyTextIndent3Char"/>
    <w:rsid w:val="00C56B48"/>
    <w:pPr>
      <w:widowControl w:val="0"/>
      <w:adjustRightInd w:val="0"/>
      <w:spacing w:before="100" w:beforeAutospacing="1" w:after="100" w:afterAutospacing="1" w:line="360" w:lineRule="atLeast"/>
      <w:ind w:left="540"/>
      <w:jc w:val="both"/>
      <w:textAlignment w:val="baseline"/>
    </w:pPr>
    <w:rPr>
      <w:rFonts w:ascii="Arial" w:eastAsia="Times New Roman" w:hAnsi="Arial" w:cs="Arial"/>
      <w:color w:val="000000"/>
      <w:sz w:val="20"/>
      <w:szCs w:val="20"/>
    </w:rPr>
  </w:style>
  <w:style w:type="character" w:customStyle="1" w:styleId="BodyTextIndent3Char">
    <w:name w:val="Body Text Indent 3 Char"/>
    <w:basedOn w:val="DefaultParagraphFont"/>
    <w:link w:val="BodyTextIndent3"/>
    <w:rsid w:val="00C56B48"/>
    <w:rPr>
      <w:rFonts w:ascii="Arial" w:eastAsia="Times New Roman" w:hAnsi="Arial" w:cs="Arial"/>
      <w:color w:val="000000"/>
      <w:sz w:val="20"/>
      <w:szCs w:val="20"/>
    </w:rPr>
  </w:style>
  <w:style w:type="character" w:styleId="FollowedHyperlink">
    <w:name w:val="FollowedHyperlink"/>
    <w:basedOn w:val="DefaultParagraphFont"/>
    <w:rsid w:val="00C56B48"/>
    <w:rPr>
      <w:color w:val="800080"/>
      <w:u w:val="single"/>
    </w:rPr>
  </w:style>
  <w:style w:type="paragraph" w:styleId="BodyTextIndent2">
    <w:name w:val="Body Text Indent 2"/>
    <w:basedOn w:val="Normal"/>
    <w:link w:val="BodyTextIndent2Char"/>
    <w:rsid w:val="00C56B48"/>
    <w:pPr>
      <w:widowControl w:val="0"/>
      <w:suppressAutoHyphens/>
      <w:adjustRightInd w:val="0"/>
      <w:spacing w:after="0" w:line="360" w:lineRule="atLeast"/>
      <w:ind w:left="540"/>
      <w:jc w:val="both"/>
      <w:textAlignment w:val="baseline"/>
    </w:pPr>
    <w:rPr>
      <w:rFonts w:ascii="Arial" w:eastAsia="Times New Roman" w:hAnsi="Arial" w:cs="Arial"/>
      <w:spacing w:val="-3"/>
      <w:sz w:val="24"/>
      <w:szCs w:val="24"/>
    </w:rPr>
  </w:style>
  <w:style w:type="character" w:customStyle="1" w:styleId="BodyTextIndent2Char">
    <w:name w:val="Body Text Indent 2 Char"/>
    <w:basedOn w:val="DefaultParagraphFont"/>
    <w:link w:val="BodyTextIndent2"/>
    <w:rsid w:val="00C56B48"/>
    <w:rPr>
      <w:rFonts w:ascii="Arial" w:eastAsia="Times New Roman" w:hAnsi="Arial" w:cs="Arial"/>
      <w:spacing w:val="-3"/>
      <w:sz w:val="24"/>
      <w:szCs w:val="24"/>
    </w:rPr>
  </w:style>
  <w:style w:type="character" w:customStyle="1" w:styleId="DocumentMapChar">
    <w:name w:val="Document Map Char"/>
    <w:basedOn w:val="DefaultParagraphFont"/>
    <w:link w:val="DocumentMap"/>
    <w:semiHidden/>
    <w:rsid w:val="00C56B48"/>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C56B48"/>
    <w:pPr>
      <w:widowControl w:val="0"/>
      <w:shd w:val="clear" w:color="auto" w:fill="000080"/>
      <w:adjustRightInd w:val="0"/>
      <w:spacing w:after="0" w:line="360" w:lineRule="atLeast"/>
      <w:jc w:val="both"/>
      <w:textAlignment w:val="baseline"/>
    </w:pPr>
    <w:rPr>
      <w:rFonts w:ascii="Tahoma" w:eastAsia="Times New Roman" w:hAnsi="Tahoma" w:cs="Tahoma"/>
      <w:sz w:val="20"/>
      <w:szCs w:val="20"/>
    </w:rPr>
  </w:style>
  <w:style w:type="paragraph" w:styleId="TOC1">
    <w:name w:val="toc 1"/>
    <w:basedOn w:val="Normal"/>
    <w:next w:val="Normal"/>
    <w:autoRedefine/>
    <w:uiPriority w:val="39"/>
    <w:rsid w:val="00C2021A"/>
    <w:pPr>
      <w:tabs>
        <w:tab w:val="left" w:pos="567"/>
      </w:tabs>
      <w:spacing w:before="240" w:after="100"/>
    </w:pPr>
    <w:rPr>
      <w:rFonts w:ascii="Verdana" w:eastAsia="Times New Roman" w:hAnsi="Verdana" w:cs="Times New Roman"/>
      <w:b/>
    </w:rPr>
  </w:style>
  <w:style w:type="paragraph" w:styleId="TOC6">
    <w:name w:val="toc 6"/>
    <w:basedOn w:val="Normal"/>
    <w:next w:val="Normal"/>
    <w:autoRedefine/>
    <w:rsid w:val="00C56B48"/>
    <w:pPr>
      <w:spacing w:after="100"/>
      <w:ind w:left="1100"/>
    </w:pPr>
    <w:rPr>
      <w:rFonts w:ascii="Calibri" w:eastAsia="Calibri" w:hAnsi="Calibri" w:cs="Times New Roman"/>
    </w:rPr>
  </w:style>
  <w:style w:type="paragraph" w:customStyle="1" w:styleId="Document1">
    <w:name w:val="Document 1"/>
    <w:rsid w:val="00C56B48"/>
    <w:pPr>
      <w:keepNext/>
      <w:keepLines/>
      <w:tabs>
        <w:tab w:val="left" w:pos="-720"/>
      </w:tabs>
      <w:suppressAutoHyphens/>
      <w:spacing w:after="0" w:line="240" w:lineRule="auto"/>
    </w:pPr>
    <w:rPr>
      <w:rFonts w:ascii="Dutch" w:eastAsia="Times New Roman" w:hAnsi="Dutch" w:cs="Times New Roman"/>
      <w:sz w:val="24"/>
      <w:szCs w:val="20"/>
      <w:lang w:val="en-US"/>
    </w:rPr>
  </w:style>
  <w:style w:type="paragraph" w:customStyle="1" w:styleId="Frametext">
    <w:name w:val="Frame text"/>
    <w:basedOn w:val="Normal"/>
    <w:rsid w:val="00C56B48"/>
    <w:pPr>
      <w:tabs>
        <w:tab w:val="left" w:pos="720"/>
        <w:tab w:val="left" w:pos="1440"/>
        <w:tab w:val="left" w:pos="2160"/>
        <w:tab w:val="left" w:pos="2880"/>
        <w:tab w:val="left" w:pos="3600"/>
        <w:tab w:val="left" w:pos="4320"/>
        <w:tab w:val="left" w:pos="5040"/>
        <w:tab w:val="left" w:pos="5508"/>
        <w:tab w:val="left" w:pos="6480"/>
        <w:tab w:val="left" w:pos="7200"/>
        <w:tab w:val="left" w:pos="7920"/>
        <w:tab w:val="left" w:pos="8640"/>
      </w:tabs>
      <w:overflowPunct w:val="0"/>
      <w:autoSpaceDE w:val="0"/>
      <w:autoSpaceDN w:val="0"/>
      <w:adjustRightInd w:val="0"/>
      <w:spacing w:after="120" w:line="240" w:lineRule="auto"/>
      <w:jc w:val="both"/>
      <w:textAlignment w:val="baseline"/>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B11BA7"/>
    <w:rPr>
      <w:sz w:val="16"/>
      <w:szCs w:val="16"/>
    </w:rPr>
  </w:style>
  <w:style w:type="character" w:customStyle="1" w:styleId="UnresolvedMention1">
    <w:name w:val="Unresolved Mention1"/>
    <w:basedOn w:val="DefaultParagraphFont"/>
    <w:uiPriority w:val="99"/>
    <w:semiHidden/>
    <w:unhideWhenUsed/>
    <w:rsid w:val="00E65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8881">
      <w:bodyDiv w:val="1"/>
      <w:marLeft w:val="0"/>
      <w:marRight w:val="0"/>
      <w:marTop w:val="0"/>
      <w:marBottom w:val="0"/>
      <w:divBdr>
        <w:top w:val="none" w:sz="0" w:space="0" w:color="auto"/>
        <w:left w:val="none" w:sz="0" w:space="0" w:color="auto"/>
        <w:bottom w:val="none" w:sz="0" w:space="0" w:color="auto"/>
        <w:right w:val="none" w:sz="0" w:space="0" w:color="auto"/>
      </w:divBdr>
    </w:div>
    <w:div w:id="65151834">
      <w:bodyDiv w:val="1"/>
      <w:marLeft w:val="0"/>
      <w:marRight w:val="0"/>
      <w:marTop w:val="0"/>
      <w:marBottom w:val="0"/>
      <w:divBdr>
        <w:top w:val="none" w:sz="0" w:space="0" w:color="auto"/>
        <w:left w:val="none" w:sz="0" w:space="0" w:color="auto"/>
        <w:bottom w:val="none" w:sz="0" w:space="0" w:color="auto"/>
        <w:right w:val="none" w:sz="0" w:space="0" w:color="auto"/>
      </w:divBdr>
    </w:div>
    <w:div w:id="487289775">
      <w:bodyDiv w:val="1"/>
      <w:marLeft w:val="0"/>
      <w:marRight w:val="0"/>
      <w:marTop w:val="0"/>
      <w:marBottom w:val="0"/>
      <w:divBdr>
        <w:top w:val="none" w:sz="0" w:space="0" w:color="auto"/>
        <w:left w:val="none" w:sz="0" w:space="0" w:color="auto"/>
        <w:bottom w:val="none" w:sz="0" w:space="0" w:color="auto"/>
        <w:right w:val="none" w:sz="0" w:space="0" w:color="auto"/>
      </w:divBdr>
    </w:div>
    <w:div w:id="548691643">
      <w:bodyDiv w:val="1"/>
      <w:marLeft w:val="0"/>
      <w:marRight w:val="0"/>
      <w:marTop w:val="0"/>
      <w:marBottom w:val="0"/>
      <w:divBdr>
        <w:top w:val="none" w:sz="0" w:space="0" w:color="auto"/>
        <w:left w:val="none" w:sz="0" w:space="0" w:color="auto"/>
        <w:bottom w:val="none" w:sz="0" w:space="0" w:color="auto"/>
        <w:right w:val="none" w:sz="0" w:space="0" w:color="auto"/>
      </w:divBdr>
    </w:div>
    <w:div w:id="1030687465">
      <w:bodyDiv w:val="1"/>
      <w:marLeft w:val="0"/>
      <w:marRight w:val="0"/>
      <w:marTop w:val="0"/>
      <w:marBottom w:val="0"/>
      <w:divBdr>
        <w:top w:val="none" w:sz="0" w:space="0" w:color="auto"/>
        <w:left w:val="none" w:sz="0" w:space="0" w:color="auto"/>
        <w:bottom w:val="none" w:sz="0" w:space="0" w:color="auto"/>
        <w:right w:val="none" w:sz="0" w:space="0" w:color="auto"/>
      </w:divBdr>
    </w:div>
    <w:div w:id="17319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369FA25CF81E4ABCD073BFC59AB232" ma:contentTypeVersion="15" ma:contentTypeDescription="Create a new document." ma:contentTypeScope="" ma:versionID="2b55aa078660ba148d028b156984be63">
  <xsd:schema xmlns:xsd="http://www.w3.org/2001/XMLSchema" xmlns:xs="http://www.w3.org/2001/XMLSchema" xmlns:p="http://schemas.microsoft.com/office/2006/metadata/properties" xmlns:ns2="c5a5b5b6-b740-4ea2-9608-22eb61fa142e" xmlns:ns3="b11ae32b-107a-4d7e-a340-5787b63fb905" targetNamespace="http://schemas.microsoft.com/office/2006/metadata/properties" ma:root="true" ma:fieldsID="1f0671534537eabed1ec9edfeb54b868" ns2:_="" ns3:_="">
    <xsd:import namespace="c5a5b5b6-b740-4ea2-9608-22eb61fa142e"/>
    <xsd:import namespace="b11ae32b-107a-4d7e-a340-5787b63fb9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5b5b6-b740-4ea2-9608-22eb61fa1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815a5b8-2f53-4d48-94ca-1688e449e08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1ae32b-107a-4d7e-a340-5787b63fb9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59a467-df79-477b-8385-50a95e7273c8}" ma:internalName="TaxCatchAll" ma:showField="CatchAllData" ma:web="b11ae32b-107a-4d7e-a340-5787b63fb90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372FC-8164-4AC3-87D2-DAC70A95B860}">
  <ds:schemaRefs>
    <ds:schemaRef ds:uri="http://schemas.openxmlformats.org/officeDocument/2006/bibliography"/>
  </ds:schemaRefs>
</ds:datastoreItem>
</file>

<file path=customXml/itemProps2.xml><?xml version="1.0" encoding="utf-8"?>
<ds:datastoreItem xmlns:ds="http://schemas.openxmlformats.org/officeDocument/2006/customXml" ds:itemID="{71541658-E361-4539-A3A8-D4833190863F}"/>
</file>

<file path=customXml/itemProps3.xml><?xml version="1.0" encoding="utf-8"?>
<ds:datastoreItem xmlns:ds="http://schemas.openxmlformats.org/officeDocument/2006/customXml" ds:itemID="{08864A91-AC10-4498-9186-77F3CA9325DC}"/>
</file>

<file path=docProps/app.xml><?xml version="1.0" encoding="utf-8"?>
<Properties xmlns="http://schemas.openxmlformats.org/officeDocument/2006/extended-properties" xmlns:vt="http://schemas.openxmlformats.org/officeDocument/2006/docPropsVTypes">
  <Template>Normal</Template>
  <TotalTime>1</TotalTime>
  <Pages>21</Pages>
  <Words>6587</Words>
  <Characters>37549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Porter, Georgie</dc:creator>
  <cp:lastModifiedBy>Mansfield, Faye</cp:lastModifiedBy>
  <cp:revision>2</cp:revision>
  <cp:lastPrinted>2021-01-22T13:28:00Z</cp:lastPrinted>
  <dcterms:created xsi:type="dcterms:W3CDTF">2023-03-22T13:55:00Z</dcterms:created>
  <dcterms:modified xsi:type="dcterms:W3CDTF">2023-03-22T13:55:00Z</dcterms:modified>
</cp:coreProperties>
</file>