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0627" w14:textId="7AF3BA4D" w:rsidR="00361095" w:rsidRPr="00782580" w:rsidRDefault="00361095" w:rsidP="00361095">
      <w:pPr>
        <w:jc w:val="right"/>
        <w:rPr>
          <w:rFonts w:ascii="Verdana" w:hAnsi="Verdana"/>
          <w:b/>
          <w:color w:val="FFFFFF" w:themeColor="background1"/>
          <w:sz w:val="48"/>
          <w:szCs w:val="48"/>
        </w:rPr>
      </w:pPr>
      <w:r>
        <w:rPr>
          <w:rFonts w:ascii="Verdana" w:hAnsi="Verdana"/>
          <w:noProof/>
          <w:color w:val="FFFFFF" w:themeColor="background1"/>
          <w:sz w:val="44"/>
          <w:szCs w:val="44"/>
        </w:rPr>
        <mc:AlternateContent>
          <mc:Choice Requires="wps">
            <w:drawing>
              <wp:anchor distT="0" distB="0" distL="114300" distR="114300" simplePos="0" relativeHeight="251693056" behindDoc="1" locked="0" layoutInCell="1" allowOverlap="1" wp14:anchorId="4B3C9AE1" wp14:editId="6BA90931">
                <wp:simplePos x="0" y="0"/>
                <wp:positionH relativeFrom="page">
                  <wp:align>left</wp:align>
                </wp:positionH>
                <wp:positionV relativeFrom="paragraph">
                  <wp:posOffset>-942974</wp:posOffset>
                </wp:positionV>
                <wp:extent cx="7543800" cy="10763250"/>
                <wp:effectExtent l="0" t="0" r="0" b="0"/>
                <wp:wrapNone/>
                <wp:docPr id="13" name="Rectangle 13"/>
                <wp:cNvGraphicFramePr/>
                <a:graphic xmlns:a="http://schemas.openxmlformats.org/drawingml/2006/main">
                  <a:graphicData uri="http://schemas.microsoft.com/office/word/2010/wordprocessingShape">
                    <wps:wsp>
                      <wps:cNvSpPr/>
                      <wps:spPr>
                        <a:xfrm>
                          <a:off x="0" y="0"/>
                          <a:ext cx="7543800" cy="107632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823E9E" w14:textId="496A515C" w:rsidR="006911EE" w:rsidRDefault="006911EE" w:rsidP="006911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9AE1" id="Rectangle 13" o:spid="_x0000_s1026" style="position:absolute;left:0;text-align:left;margin-left:0;margin-top:-74.25pt;width:594pt;height:847.5pt;z-index:-251623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" fillcolor="#bdd6ee [1300]" stroked="f" strokeweight="2pt">
                <v:textbox>
                  <w:txbxContent>
                    <w:p w14:paraId="3C823E9E" w14:textId="496A515C" w:rsidR="006911EE" w:rsidRDefault="006911EE" w:rsidP="006911EE">
                      <w:pPr>
                        <w:jc w:val="center"/>
                      </w:pPr>
                    </w:p>
                  </w:txbxContent>
                </v:textbox>
                <w10:wrap anchorx="page"/>
              </v:rect>
            </w:pict>
          </mc:Fallback>
        </mc:AlternateContent>
      </w:r>
      <w:r w:rsidRPr="00361095">
        <w:rPr>
          <w:rFonts w:ascii="Verdana" w:hAnsi="Verdana"/>
          <w:b/>
          <w:bCs/>
          <w:color w:val="FFFFFF" w:themeColor="background1"/>
          <w:sz w:val="48"/>
          <w:szCs w:val="48"/>
        </w:rPr>
        <w:t>H</w:t>
      </w:r>
      <w:r w:rsidRPr="00361095">
        <w:rPr>
          <w:rFonts w:ascii="Verdana" w:hAnsi="Verdana"/>
          <w:b/>
          <w:color w:val="FFFFFF" w:themeColor="background1"/>
          <w:sz w:val="48"/>
          <w:szCs w:val="48"/>
        </w:rPr>
        <w:t>ealth</w:t>
      </w:r>
      <w:r w:rsidRPr="00782580">
        <w:rPr>
          <w:rFonts w:ascii="Verdana" w:hAnsi="Verdana"/>
          <w:b/>
          <w:color w:val="FFFFFF" w:themeColor="background1"/>
          <w:sz w:val="48"/>
          <w:szCs w:val="48"/>
        </w:rPr>
        <w:t xml:space="preserve">, Safety and </w:t>
      </w:r>
      <w:r>
        <w:rPr>
          <w:rFonts w:ascii="Verdana" w:hAnsi="Verdana"/>
          <w:b/>
          <w:color w:val="FFFFFF" w:themeColor="background1"/>
          <w:sz w:val="48"/>
          <w:szCs w:val="48"/>
        </w:rPr>
        <w:t>Wellbeing</w:t>
      </w:r>
    </w:p>
    <w:p w14:paraId="75A5D00C" w14:textId="1F02A505" w:rsidR="00361095" w:rsidRPr="00782580" w:rsidRDefault="00361095" w:rsidP="00361095">
      <w:pPr>
        <w:jc w:val="right"/>
        <w:rPr>
          <w:rFonts w:ascii="Verdana" w:hAnsi="Verdana"/>
          <w:color w:val="FFFFFF" w:themeColor="background1"/>
          <w:sz w:val="144"/>
          <w:szCs w:val="144"/>
        </w:rPr>
      </w:pPr>
      <w:r>
        <w:rPr>
          <w:rFonts w:ascii="Verdana" w:hAnsi="Verdana"/>
          <w:noProof/>
          <w:sz w:val="36"/>
          <w:szCs w:val="36"/>
          <w:u w:val="single"/>
          <w:lang w:eastAsia="en-GB"/>
        </w:rPr>
        <w:drawing>
          <wp:anchor distT="0" distB="0" distL="114300" distR="114300" simplePos="0" relativeHeight="251695104" behindDoc="1" locked="0" layoutInCell="1" allowOverlap="1" wp14:anchorId="19CD4608" wp14:editId="73046CF5">
            <wp:simplePos x="0" y="0"/>
            <wp:positionH relativeFrom="margin">
              <wp:posOffset>471805</wp:posOffset>
            </wp:positionH>
            <wp:positionV relativeFrom="paragraph">
              <wp:posOffset>420370</wp:posOffset>
            </wp:positionV>
            <wp:extent cx="1478280" cy="1478280"/>
            <wp:effectExtent l="0" t="0" r="7620" b="7620"/>
            <wp:wrapTight wrapText="bothSides">
              <wp:wrapPolygon edited="0">
                <wp:start x="10021" y="0"/>
                <wp:lineTo x="3619" y="2784"/>
                <wp:lineTo x="2505" y="3619"/>
                <wp:lineTo x="3062" y="4732"/>
                <wp:lineTo x="1392" y="9186"/>
                <wp:lineTo x="0" y="10021"/>
                <wp:lineTo x="0" y="11134"/>
                <wp:lineTo x="3340" y="13639"/>
                <wp:lineTo x="2505" y="18093"/>
                <wp:lineTo x="10021" y="21433"/>
                <wp:lineTo x="11412" y="21433"/>
                <wp:lineTo x="18649" y="18371"/>
                <wp:lineTo x="18649" y="18093"/>
                <wp:lineTo x="18093" y="14196"/>
                <wp:lineTo x="17814" y="13639"/>
                <wp:lineTo x="21433" y="11412"/>
                <wp:lineTo x="21433" y="10299"/>
                <wp:lineTo x="19763" y="9186"/>
                <wp:lineTo x="19206" y="3897"/>
                <wp:lineTo x="18093" y="3062"/>
                <wp:lineTo x="11412" y="0"/>
                <wp:lineTo x="100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RS2015 no background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page">
              <wp14:pctWidth>0</wp14:pctWidth>
            </wp14:sizeRelH>
            <wp14:sizeRelV relativeFrom="page">
              <wp14:pctHeight>0</wp14:pctHeight>
            </wp14:sizeRelV>
          </wp:anchor>
        </w:drawing>
      </w:r>
      <w:r w:rsidRPr="00782580">
        <w:rPr>
          <w:rFonts w:ascii="Verdana" w:hAnsi="Verdana"/>
          <w:color w:val="FFFFFF" w:themeColor="background1"/>
          <w:sz w:val="48"/>
          <w:szCs w:val="48"/>
        </w:rPr>
        <w:tab/>
      </w:r>
      <w:r w:rsidRPr="00782580">
        <w:rPr>
          <w:rFonts w:ascii="Verdana" w:hAnsi="Verdana"/>
          <w:color w:val="FFFFFF" w:themeColor="background1"/>
          <w:sz w:val="144"/>
          <w:szCs w:val="144"/>
        </w:rPr>
        <w:t>Annual Report</w:t>
      </w:r>
    </w:p>
    <w:p w14:paraId="42979300" w14:textId="58299AD4" w:rsidR="001511E8" w:rsidRDefault="00361095" w:rsidP="00361095">
      <w:pPr>
        <w:jc w:val="right"/>
        <w:rPr>
          <w:rFonts w:ascii="Verdana" w:hAnsi="Verdana"/>
          <w:color w:val="FFFFFF" w:themeColor="background1"/>
          <w:sz w:val="44"/>
          <w:szCs w:val="44"/>
        </w:rPr>
      </w:pPr>
      <w:r w:rsidRPr="007C2A65">
        <w:rPr>
          <w:rFonts w:ascii="Verdana" w:hAnsi="Verdana"/>
          <w:color w:val="FFFFFF" w:themeColor="background1"/>
          <w:sz w:val="72"/>
          <w:szCs w:val="72"/>
        </w:rPr>
        <w:tab/>
      </w:r>
      <w:r w:rsidRPr="007C2A65">
        <w:rPr>
          <w:rFonts w:ascii="Verdana" w:hAnsi="Verdana"/>
          <w:color w:val="FFFFFF" w:themeColor="background1"/>
          <w:sz w:val="44"/>
          <w:szCs w:val="44"/>
        </w:rPr>
        <w:t>20</w:t>
      </w:r>
      <w:r>
        <w:rPr>
          <w:rFonts w:ascii="Verdana" w:hAnsi="Verdana"/>
          <w:color w:val="FFFFFF" w:themeColor="background1"/>
          <w:sz w:val="44"/>
          <w:szCs w:val="44"/>
        </w:rPr>
        <w:t>20</w:t>
      </w:r>
      <w:r w:rsidRPr="007C2A65">
        <w:rPr>
          <w:rFonts w:ascii="Verdana" w:hAnsi="Verdana"/>
          <w:color w:val="FFFFFF" w:themeColor="background1"/>
          <w:sz w:val="44"/>
          <w:szCs w:val="44"/>
        </w:rPr>
        <w:t>-</w:t>
      </w:r>
      <w:r>
        <w:rPr>
          <w:rFonts w:ascii="Verdana" w:hAnsi="Verdana"/>
          <w:color w:val="FFFFFF" w:themeColor="background1"/>
          <w:sz w:val="44"/>
          <w:szCs w:val="44"/>
        </w:rPr>
        <w:t>21</w:t>
      </w:r>
    </w:p>
    <w:p w14:paraId="4124DE9E" w14:textId="77777777" w:rsidR="006911EE" w:rsidRDefault="006911EE" w:rsidP="00361095">
      <w:pPr>
        <w:jc w:val="right"/>
        <w:rPr>
          <w:rFonts w:ascii="Verdana" w:hAnsi="Verdana"/>
          <w:color w:val="FFFFFF" w:themeColor="background1"/>
          <w:sz w:val="44"/>
          <w:szCs w:val="44"/>
        </w:rPr>
      </w:pPr>
    </w:p>
    <w:p w14:paraId="2B7BF79A" w14:textId="78326A4C" w:rsidR="00361095" w:rsidRDefault="00A14053" w:rsidP="00361095">
      <w:pPr>
        <w:jc w:val="right"/>
        <w:rPr>
          <w:rFonts w:ascii="Verdana" w:hAnsi="Verdana"/>
          <w:color w:val="FFFFFF" w:themeColor="background1"/>
          <w:sz w:val="44"/>
          <w:szCs w:val="44"/>
        </w:rPr>
      </w:pPr>
      <w:r>
        <w:rPr>
          <w:rFonts w:ascii="Verdana" w:hAnsi="Verdana"/>
          <w:color w:val="FFFFFF" w:themeColor="background1"/>
          <w:sz w:val="44"/>
          <w:szCs w:val="44"/>
        </w:rPr>
        <w:tab/>
      </w:r>
    </w:p>
    <w:p w14:paraId="4CF83F53" w14:textId="0EC005D9" w:rsidR="00361095" w:rsidRDefault="006911EE" w:rsidP="006911EE">
      <w:pPr>
        <w:rPr>
          <w:rFonts w:ascii="Verdana" w:hAnsi="Verdana"/>
          <w:color w:val="FFFFFF" w:themeColor="background1"/>
          <w:sz w:val="44"/>
          <w:szCs w:val="44"/>
        </w:rPr>
      </w:pPr>
      <w:r>
        <w:rPr>
          <w:noProof/>
        </w:rPr>
        <w:drawing>
          <wp:inline distT="0" distB="0" distL="0" distR="0" wp14:anchorId="77AD1DFC" wp14:editId="3666007C">
            <wp:extent cx="5730781" cy="3124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426" cy="3131094"/>
                    </a:xfrm>
                    <a:prstGeom prst="rect">
                      <a:avLst/>
                    </a:prstGeom>
                    <a:noFill/>
                    <a:ln>
                      <a:noFill/>
                    </a:ln>
                  </pic:spPr>
                </pic:pic>
              </a:graphicData>
            </a:graphic>
          </wp:inline>
        </w:drawing>
      </w:r>
    </w:p>
    <w:p w14:paraId="6DBB5A61" w14:textId="4787263C" w:rsidR="00361095" w:rsidRDefault="00361095" w:rsidP="00361095">
      <w:pPr>
        <w:jc w:val="right"/>
        <w:rPr>
          <w:rFonts w:ascii="Verdana" w:hAnsi="Verdana"/>
          <w:color w:val="FFFFFF" w:themeColor="background1"/>
          <w:sz w:val="44"/>
          <w:szCs w:val="44"/>
        </w:rPr>
      </w:pPr>
    </w:p>
    <w:p w14:paraId="3B071CF1" w14:textId="6A59062C" w:rsidR="00280A19" w:rsidRPr="002C4D14" w:rsidRDefault="00280A19" w:rsidP="005E726E">
      <w:pPr>
        <w:rPr>
          <w:rFonts w:ascii="Verdana" w:hAnsi="Verdana"/>
          <w:b/>
          <w:color w:val="FFFFFF" w:themeColor="background1"/>
          <w:sz w:val="40"/>
          <w:szCs w:val="40"/>
        </w:rPr>
      </w:pPr>
      <w:r w:rsidRPr="00EE43CD">
        <w:rPr>
          <w:rFonts w:ascii="Verdana" w:hAnsi="Verdana"/>
          <w:b/>
          <w:sz w:val="36"/>
          <w:szCs w:val="36"/>
        </w:rPr>
        <w:lastRenderedPageBreak/>
        <w:t>Contents</w:t>
      </w:r>
      <w:r w:rsidR="00E617C8" w:rsidRPr="00EE43CD">
        <w:rPr>
          <w:rFonts w:ascii="Verdana" w:hAnsi="Verdana"/>
          <w:b/>
          <w:sz w:val="36"/>
          <w:szCs w:val="36"/>
        </w:rPr>
        <w:t>:</w:t>
      </w:r>
    </w:p>
    <w:p w14:paraId="1AEE25F1" w14:textId="77777777" w:rsidR="00280A19" w:rsidRPr="002C4D14" w:rsidRDefault="00280A19">
      <w:pPr>
        <w:rPr>
          <w:rFonts w:ascii="Verdana" w:hAnsi="Verdana"/>
          <w:b/>
          <w:sz w:val="36"/>
          <w:szCs w:val="36"/>
          <w:highlight w:val="yellow"/>
        </w:rPr>
      </w:pPr>
    </w:p>
    <w:p w14:paraId="3D32409A" w14:textId="77777777" w:rsidR="00280A19" w:rsidRPr="00CD341C" w:rsidRDefault="00280A19">
      <w:pPr>
        <w:rPr>
          <w:rFonts w:ascii="Verdana" w:hAnsi="Verdana"/>
          <w:sz w:val="36"/>
          <w:szCs w:val="36"/>
        </w:rPr>
      </w:pPr>
      <w:r w:rsidRPr="002C4D14">
        <w:rPr>
          <w:rFonts w:ascii="Verdana" w:hAnsi="Verdana"/>
          <w:b/>
          <w:sz w:val="36"/>
          <w:szCs w:val="36"/>
        </w:rPr>
        <w:t>Section</w:t>
      </w:r>
      <w:r w:rsidRPr="002C4D14">
        <w:rPr>
          <w:rFonts w:ascii="Verdana" w:hAnsi="Verdana"/>
          <w:b/>
          <w:sz w:val="36"/>
          <w:szCs w:val="36"/>
        </w:rPr>
        <w:tab/>
      </w:r>
      <w:r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00BE50C4" w:rsidRPr="00CD341C">
        <w:rPr>
          <w:rFonts w:ascii="Verdana" w:hAnsi="Verdana"/>
          <w:sz w:val="36"/>
          <w:szCs w:val="36"/>
        </w:rPr>
        <w:t xml:space="preserve">   </w:t>
      </w:r>
      <w:r w:rsidRPr="002C4D14">
        <w:rPr>
          <w:rFonts w:ascii="Verdana" w:hAnsi="Verdana"/>
          <w:sz w:val="36"/>
          <w:szCs w:val="36"/>
        </w:rPr>
        <w:t>Page</w:t>
      </w:r>
    </w:p>
    <w:p w14:paraId="4BE53AAC" w14:textId="77777777" w:rsidR="00280A19" w:rsidRDefault="00745402" w:rsidP="00745402">
      <w:pPr>
        <w:rPr>
          <w:rFonts w:ascii="Verdana" w:hAnsi="Verdana"/>
          <w:sz w:val="36"/>
          <w:szCs w:val="36"/>
        </w:rPr>
      </w:pPr>
      <w:r w:rsidRPr="00CD341C">
        <w:rPr>
          <w:rFonts w:ascii="Verdana" w:hAnsi="Verdana"/>
          <w:sz w:val="36"/>
          <w:szCs w:val="36"/>
        </w:rPr>
        <w:t>Forewords</w:t>
      </w:r>
      <w:r w:rsidR="0022718A" w:rsidRPr="00CD341C">
        <w:rPr>
          <w:rFonts w:ascii="Verdana" w:hAnsi="Verdana"/>
          <w:sz w:val="36"/>
          <w:szCs w:val="36"/>
        </w:rPr>
        <w:tab/>
      </w:r>
      <w:r w:rsidR="0022718A" w:rsidRPr="00CD341C">
        <w:rPr>
          <w:rFonts w:ascii="Verdana" w:hAnsi="Verdana"/>
          <w:sz w:val="36"/>
          <w:szCs w:val="36"/>
        </w:rPr>
        <w:tab/>
      </w:r>
      <w:r w:rsidR="0022718A" w:rsidRPr="00CD341C">
        <w:rPr>
          <w:rFonts w:ascii="Verdana" w:hAnsi="Verdana"/>
          <w:sz w:val="36"/>
          <w:szCs w:val="36"/>
        </w:rPr>
        <w:tab/>
      </w:r>
      <w:r w:rsidR="0022718A" w:rsidRPr="00CD341C">
        <w:rPr>
          <w:rFonts w:ascii="Verdana" w:hAnsi="Verdana"/>
          <w:sz w:val="36"/>
          <w:szCs w:val="36"/>
        </w:rPr>
        <w:tab/>
      </w:r>
      <w:r w:rsidR="0022718A" w:rsidRPr="00CD341C">
        <w:rPr>
          <w:rFonts w:ascii="Verdana" w:hAnsi="Verdana"/>
          <w:sz w:val="36"/>
          <w:szCs w:val="36"/>
        </w:rPr>
        <w:tab/>
      </w:r>
      <w:r w:rsidR="0022718A" w:rsidRPr="00CD341C">
        <w:rPr>
          <w:rFonts w:ascii="Verdana" w:hAnsi="Verdana"/>
          <w:sz w:val="36"/>
          <w:szCs w:val="36"/>
        </w:rPr>
        <w:tab/>
      </w:r>
      <w:r w:rsidR="0022718A" w:rsidRPr="00CD341C">
        <w:rPr>
          <w:rFonts w:ascii="Verdana" w:hAnsi="Verdana"/>
          <w:sz w:val="36"/>
          <w:szCs w:val="36"/>
        </w:rPr>
        <w:tab/>
      </w:r>
      <w:r w:rsidR="00BE50C4" w:rsidRPr="00CD341C">
        <w:rPr>
          <w:rFonts w:ascii="Verdana" w:hAnsi="Verdana"/>
          <w:sz w:val="36"/>
          <w:szCs w:val="36"/>
        </w:rPr>
        <w:tab/>
      </w:r>
      <w:r w:rsidR="0062324B" w:rsidRPr="00CD341C">
        <w:rPr>
          <w:rFonts w:ascii="Verdana" w:hAnsi="Verdana"/>
          <w:sz w:val="36"/>
          <w:szCs w:val="36"/>
        </w:rPr>
        <w:tab/>
      </w:r>
      <w:r w:rsidR="00B51446" w:rsidRPr="00CD341C">
        <w:rPr>
          <w:rFonts w:ascii="Verdana" w:hAnsi="Verdana"/>
          <w:sz w:val="36"/>
          <w:szCs w:val="36"/>
        </w:rPr>
        <w:t>3</w:t>
      </w:r>
    </w:p>
    <w:p w14:paraId="3408B373" w14:textId="77777777" w:rsidR="00B445A8" w:rsidRPr="00CD341C" w:rsidRDefault="006F4A0C" w:rsidP="00745402">
      <w:pPr>
        <w:rPr>
          <w:rFonts w:ascii="Verdana" w:hAnsi="Verdana"/>
          <w:sz w:val="36"/>
          <w:szCs w:val="36"/>
        </w:rPr>
      </w:pPr>
      <w:r>
        <w:rPr>
          <w:rFonts w:ascii="Verdana" w:hAnsi="Verdana"/>
          <w:sz w:val="36"/>
          <w:szCs w:val="36"/>
        </w:rPr>
        <w:t xml:space="preserve">Executive </w:t>
      </w:r>
      <w:r w:rsidR="002C4D14">
        <w:rPr>
          <w:rFonts w:ascii="Verdana" w:hAnsi="Verdana"/>
          <w:sz w:val="36"/>
          <w:szCs w:val="36"/>
        </w:rPr>
        <w:t>s</w:t>
      </w:r>
      <w:r>
        <w:rPr>
          <w:rFonts w:ascii="Verdana" w:hAnsi="Verdana"/>
          <w:sz w:val="36"/>
          <w:szCs w:val="36"/>
        </w:rPr>
        <w:t>ummary</w:t>
      </w:r>
      <w:r w:rsidR="00B445A8">
        <w:rPr>
          <w:rFonts w:ascii="Verdana" w:hAnsi="Verdana"/>
          <w:sz w:val="36"/>
          <w:szCs w:val="36"/>
        </w:rPr>
        <w:tab/>
      </w:r>
      <w:r w:rsidR="00B445A8">
        <w:rPr>
          <w:rFonts w:ascii="Verdana" w:hAnsi="Verdana"/>
          <w:sz w:val="36"/>
          <w:szCs w:val="36"/>
        </w:rPr>
        <w:tab/>
      </w:r>
      <w:r w:rsidR="00B445A8">
        <w:rPr>
          <w:rFonts w:ascii="Verdana" w:hAnsi="Verdana"/>
          <w:sz w:val="36"/>
          <w:szCs w:val="36"/>
        </w:rPr>
        <w:tab/>
      </w:r>
      <w:r w:rsidR="00B445A8">
        <w:rPr>
          <w:rFonts w:ascii="Verdana" w:hAnsi="Verdana"/>
          <w:sz w:val="36"/>
          <w:szCs w:val="36"/>
        </w:rPr>
        <w:tab/>
      </w:r>
      <w:r w:rsidR="002C4D14">
        <w:rPr>
          <w:rFonts w:ascii="Verdana" w:hAnsi="Verdana"/>
          <w:sz w:val="36"/>
          <w:szCs w:val="36"/>
        </w:rPr>
        <w:tab/>
      </w:r>
      <w:r w:rsidR="00B445A8">
        <w:rPr>
          <w:rFonts w:ascii="Verdana" w:hAnsi="Verdana"/>
          <w:sz w:val="36"/>
          <w:szCs w:val="36"/>
        </w:rPr>
        <w:tab/>
      </w:r>
      <w:r>
        <w:rPr>
          <w:rFonts w:ascii="Verdana" w:hAnsi="Verdana"/>
          <w:sz w:val="36"/>
          <w:szCs w:val="36"/>
        </w:rPr>
        <w:t xml:space="preserve">     </w:t>
      </w:r>
      <w:r w:rsidR="00A63436">
        <w:rPr>
          <w:rFonts w:ascii="Verdana" w:hAnsi="Verdana"/>
          <w:sz w:val="36"/>
          <w:szCs w:val="36"/>
        </w:rPr>
        <w:t xml:space="preserve"> </w:t>
      </w:r>
      <w:r w:rsidR="00B445A8">
        <w:rPr>
          <w:rFonts w:ascii="Verdana" w:hAnsi="Verdana"/>
          <w:sz w:val="36"/>
          <w:szCs w:val="36"/>
        </w:rPr>
        <w:t>4</w:t>
      </w:r>
    </w:p>
    <w:p w14:paraId="4CD909E2" w14:textId="77777777" w:rsidR="0022718A" w:rsidRPr="00CD341C" w:rsidRDefault="00E617C8" w:rsidP="00745402">
      <w:pPr>
        <w:rPr>
          <w:rFonts w:ascii="Verdana" w:hAnsi="Verdana"/>
          <w:sz w:val="36"/>
          <w:szCs w:val="36"/>
        </w:rPr>
      </w:pPr>
      <w:r>
        <w:rPr>
          <w:rFonts w:ascii="Verdana" w:hAnsi="Verdana"/>
          <w:sz w:val="36"/>
          <w:szCs w:val="36"/>
        </w:rPr>
        <w:t>COVID-19 pandemic</w:t>
      </w:r>
      <w:r w:rsidR="006F4A0C" w:rsidRPr="00CD341C">
        <w:rPr>
          <w:rFonts w:ascii="Verdana" w:hAnsi="Verdana"/>
          <w:sz w:val="36"/>
          <w:szCs w:val="36"/>
        </w:rPr>
        <w:t xml:space="preserve"> </w:t>
      </w:r>
      <w:r w:rsidR="0022718A" w:rsidRPr="00CD341C">
        <w:rPr>
          <w:rFonts w:ascii="Verdana" w:hAnsi="Verdana"/>
          <w:sz w:val="36"/>
          <w:szCs w:val="36"/>
        </w:rPr>
        <w:tab/>
      </w:r>
      <w:r w:rsidR="009E506A">
        <w:rPr>
          <w:rFonts w:ascii="Verdana" w:hAnsi="Verdana"/>
          <w:sz w:val="36"/>
          <w:szCs w:val="36"/>
        </w:rPr>
        <w:tab/>
      </w:r>
      <w:r w:rsidR="0022718A" w:rsidRPr="00CD341C">
        <w:rPr>
          <w:rFonts w:ascii="Verdana" w:hAnsi="Verdana"/>
          <w:sz w:val="36"/>
          <w:szCs w:val="36"/>
        </w:rPr>
        <w:tab/>
      </w:r>
      <w:r w:rsidR="00BE50C4" w:rsidRPr="00CD341C">
        <w:rPr>
          <w:rFonts w:ascii="Verdana" w:hAnsi="Verdana"/>
          <w:sz w:val="36"/>
          <w:szCs w:val="36"/>
        </w:rPr>
        <w:tab/>
      </w:r>
      <w:r w:rsidR="0062324B" w:rsidRPr="00CD341C">
        <w:rPr>
          <w:rFonts w:ascii="Verdana" w:hAnsi="Verdana"/>
          <w:sz w:val="36"/>
          <w:szCs w:val="36"/>
        </w:rPr>
        <w:tab/>
      </w:r>
      <w:r>
        <w:rPr>
          <w:rFonts w:ascii="Verdana" w:hAnsi="Verdana"/>
          <w:sz w:val="36"/>
          <w:szCs w:val="36"/>
        </w:rPr>
        <w:tab/>
      </w:r>
      <w:r w:rsidR="00B445A8">
        <w:rPr>
          <w:rFonts w:ascii="Verdana" w:hAnsi="Verdana"/>
          <w:sz w:val="36"/>
          <w:szCs w:val="36"/>
        </w:rPr>
        <w:t>5</w:t>
      </w:r>
    </w:p>
    <w:p w14:paraId="3D5D0B67" w14:textId="44E059F5" w:rsidR="00BE7B7A" w:rsidRPr="00CD341C" w:rsidRDefault="001965E3" w:rsidP="00745402">
      <w:pPr>
        <w:rPr>
          <w:rFonts w:ascii="Verdana" w:hAnsi="Verdana"/>
          <w:sz w:val="36"/>
          <w:szCs w:val="36"/>
        </w:rPr>
      </w:pPr>
      <w:r w:rsidRPr="00CD341C">
        <w:rPr>
          <w:rFonts w:ascii="Verdana" w:hAnsi="Verdana"/>
          <w:sz w:val="36"/>
          <w:szCs w:val="36"/>
        </w:rPr>
        <w:t xml:space="preserve">Our </w:t>
      </w:r>
      <w:r w:rsidR="009E506A">
        <w:rPr>
          <w:rFonts w:ascii="Verdana" w:hAnsi="Verdana"/>
          <w:sz w:val="36"/>
          <w:szCs w:val="36"/>
        </w:rPr>
        <w:t>p</w:t>
      </w:r>
      <w:r w:rsidRPr="00CD341C">
        <w:rPr>
          <w:rFonts w:ascii="Verdana" w:hAnsi="Verdana"/>
          <w:sz w:val="36"/>
          <w:szCs w:val="36"/>
        </w:rPr>
        <w:t xml:space="preserve">erformance </w:t>
      </w:r>
      <w:proofErr w:type="gramStart"/>
      <w:r w:rsidRPr="00CD341C">
        <w:rPr>
          <w:rFonts w:ascii="Verdana" w:hAnsi="Verdana"/>
          <w:sz w:val="36"/>
          <w:szCs w:val="36"/>
        </w:rPr>
        <w:t xml:space="preserve">at a </w:t>
      </w:r>
      <w:r w:rsidR="009E506A">
        <w:rPr>
          <w:rFonts w:ascii="Verdana" w:hAnsi="Verdana"/>
          <w:sz w:val="36"/>
          <w:szCs w:val="36"/>
        </w:rPr>
        <w:t>g</w:t>
      </w:r>
      <w:r w:rsidR="00BE7B7A" w:rsidRPr="00CD341C">
        <w:rPr>
          <w:rFonts w:ascii="Verdana" w:hAnsi="Verdana"/>
          <w:sz w:val="36"/>
          <w:szCs w:val="36"/>
        </w:rPr>
        <w:t>lance</w:t>
      </w:r>
      <w:proofErr w:type="gramEnd"/>
      <w:r w:rsidR="00BE7B7A" w:rsidRPr="00CD341C">
        <w:rPr>
          <w:rFonts w:ascii="Verdana" w:hAnsi="Verdana"/>
          <w:sz w:val="36"/>
          <w:szCs w:val="36"/>
        </w:rPr>
        <w:tab/>
      </w:r>
      <w:r w:rsidR="00BE7B7A" w:rsidRPr="00CD341C">
        <w:rPr>
          <w:rFonts w:ascii="Verdana" w:hAnsi="Verdana"/>
          <w:sz w:val="36"/>
          <w:szCs w:val="36"/>
        </w:rPr>
        <w:tab/>
      </w:r>
      <w:r w:rsidR="00BE7B7A" w:rsidRPr="00CD341C">
        <w:rPr>
          <w:rFonts w:ascii="Verdana" w:hAnsi="Verdana"/>
          <w:sz w:val="36"/>
          <w:szCs w:val="36"/>
        </w:rPr>
        <w:tab/>
      </w:r>
      <w:r w:rsidR="00BE7B7A" w:rsidRPr="00CD341C">
        <w:rPr>
          <w:rFonts w:ascii="Verdana" w:hAnsi="Verdana"/>
          <w:sz w:val="36"/>
          <w:szCs w:val="36"/>
        </w:rPr>
        <w:tab/>
      </w:r>
      <w:r w:rsidR="00995900">
        <w:rPr>
          <w:rFonts w:ascii="Verdana" w:hAnsi="Verdana"/>
          <w:sz w:val="36"/>
          <w:szCs w:val="36"/>
        </w:rPr>
        <w:t>11</w:t>
      </w:r>
    </w:p>
    <w:p w14:paraId="358B4244" w14:textId="216CF80F" w:rsidR="00BE7B7A" w:rsidRPr="00CD341C" w:rsidRDefault="0048532E" w:rsidP="00745402">
      <w:pPr>
        <w:rPr>
          <w:rFonts w:ascii="Verdana" w:hAnsi="Verdana"/>
          <w:sz w:val="36"/>
          <w:szCs w:val="36"/>
        </w:rPr>
      </w:pPr>
      <w:r w:rsidRPr="00CD341C">
        <w:rPr>
          <w:rFonts w:ascii="Verdana" w:hAnsi="Verdana"/>
          <w:sz w:val="36"/>
          <w:szCs w:val="36"/>
        </w:rPr>
        <w:t xml:space="preserve">Performance </w:t>
      </w:r>
      <w:r w:rsidR="009E506A">
        <w:rPr>
          <w:rFonts w:ascii="Verdana" w:hAnsi="Verdana"/>
          <w:sz w:val="36"/>
          <w:szCs w:val="36"/>
        </w:rPr>
        <w:t>o</w:t>
      </w:r>
      <w:r w:rsidRPr="00CD341C">
        <w:rPr>
          <w:rFonts w:ascii="Verdana" w:hAnsi="Verdana"/>
          <w:sz w:val="36"/>
          <w:szCs w:val="36"/>
        </w:rPr>
        <w:t>verview</w:t>
      </w:r>
      <w:r w:rsidR="00133FFB" w:rsidRPr="00CD341C">
        <w:rPr>
          <w:rFonts w:ascii="Verdana" w:hAnsi="Verdana"/>
          <w:sz w:val="36"/>
          <w:szCs w:val="36"/>
        </w:rPr>
        <w:tab/>
      </w:r>
      <w:r w:rsidR="00133FFB" w:rsidRPr="00CD341C">
        <w:rPr>
          <w:rFonts w:ascii="Verdana" w:hAnsi="Verdana"/>
          <w:sz w:val="36"/>
          <w:szCs w:val="36"/>
        </w:rPr>
        <w:tab/>
      </w:r>
      <w:r w:rsidR="00133FFB" w:rsidRPr="00CD341C">
        <w:rPr>
          <w:rFonts w:ascii="Verdana" w:hAnsi="Verdana"/>
          <w:sz w:val="36"/>
          <w:szCs w:val="36"/>
        </w:rPr>
        <w:tab/>
      </w:r>
      <w:r w:rsidR="00133FFB"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00995900">
        <w:rPr>
          <w:rFonts w:ascii="Verdana" w:hAnsi="Verdana"/>
          <w:sz w:val="36"/>
          <w:szCs w:val="36"/>
        </w:rPr>
        <w:t>12</w:t>
      </w:r>
    </w:p>
    <w:p w14:paraId="71C5EB70" w14:textId="733F13A1" w:rsidR="008B5ABB" w:rsidRPr="00CD341C" w:rsidRDefault="00E617C8" w:rsidP="00745402">
      <w:pPr>
        <w:rPr>
          <w:rFonts w:ascii="Verdana" w:hAnsi="Verdana"/>
          <w:sz w:val="36"/>
          <w:szCs w:val="36"/>
        </w:rPr>
      </w:pPr>
      <w:r>
        <w:rPr>
          <w:rFonts w:ascii="Verdana" w:hAnsi="Verdana"/>
          <w:sz w:val="36"/>
          <w:szCs w:val="36"/>
        </w:rPr>
        <w:t>Employee Wellbeing</w:t>
      </w:r>
      <w:r w:rsidR="009E506A">
        <w:rPr>
          <w:rFonts w:ascii="Verdana" w:hAnsi="Verdana"/>
          <w:sz w:val="36"/>
          <w:szCs w:val="36"/>
        </w:rPr>
        <w:tab/>
      </w:r>
      <w:r w:rsidR="0033171D">
        <w:rPr>
          <w:rFonts w:ascii="Verdana" w:hAnsi="Verdana"/>
          <w:sz w:val="36"/>
          <w:szCs w:val="36"/>
        </w:rPr>
        <w:t xml:space="preserve"> </w:t>
      </w:r>
      <w:r w:rsidR="0033171D">
        <w:rPr>
          <w:rFonts w:ascii="Verdana" w:hAnsi="Verdana"/>
          <w:sz w:val="36"/>
          <w:szCs w:val="36"/>
        </w:rPr>
        <w:tab/>
      </w:r>
      <w:r w:rsidR="0033171D">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0033171D">
        <w:rPr>
          <w:rFonts w:ascii="Verdana" w:hAnsi="Verdana"/>
          <w:sz w:val="36"/>
          <w:szCs w:val="36"/>
        </w:rPr>
        <w:t>1</w:t>
      </w:r>
      <w:r w:rsidR="00995900">
        <w:rPr>
          <w:rFonts w:ascii="Verdana" w:hAnsi="Verdana"/>
          <w:sz w:val="36"/>
          <w:szCs w:val="36"/>
        </w:rPr>
        <w:t>5</w:t>
      </w:r>
    </w:p>
    <w:p w14:paraId="50E624AB" w14:textId="36466FF4" w:rsidR="00BE7B7A" w:rsidRPr="00CD341C" w:rsidRDefault="00E617C8" w:rsidP="00745402">
      <w:pPr>
        <w:rPr>
          <w:rFonts w:ascii="Verdana" w:hAnsi="Verdana"/>
          <w:sz w:val="36"/>
          <w:szCs w:val="36"/>
        </w:rPr>
      </w:pPr>
      <w:r>
        <w:rPr>
          <w:rFonts w:ascii="Verdana" w:hAnsi="Verdana"/>
          <w:sz w:val="36"/>
          <w:szCs w:val="36"/>
        </w:rPr>
        <w:t>Blue Light Hub</w:t>
      </w:r>
      <w:r w:rsidR="000C319D" w:rsidRPr="00CD341C">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0048532E" w:rsidRPr="00CD341C">
        <w:rPr>
          <w:rFonts w:ascii="Verdana" w:hAnsi="Verdana"/>
          <w:sz w:val="36"/>
          <w:szCs w:val="36"/>
        </w:rPr>
        <w:t>1</w:t>
      </w:r>
      <w:r w:rsidR="00BB7AF7">
        <w:rPr>
          <w:rFonts w:ascii="Verdana" w:hAnsi="Verdana"/>
          <w:sz w:val="36"/>
          <w:szCs w:val="36"/>
        </w:rPr>
        <w:t>6</w:t>
      </w:r>
    </w:p>
    <w:p w14:paraId="28198D10" w14:textId="3CA230CD" w:rsidR="00F22B0D" w:rsidRPr="00CD341C" w:rsidRDefault="00B4005B" w:rsidP="00745402">
      <w:pPr>
        <w:rPr>
          <w:rFonts w:ascii="Verdana" w:hAnsi="Verdana"/>
          <w:sz w:val="36"/>
          <w:szCs w:val="36"/>
        </w:rPr>
      </w:pPr>
      <w:r>
        <w:rPr>
          <w:rFonts w:ascii="Verdana" w:hAnsi="Verdana"/>
          <w:sz w:val="36"/>
          <w:szCs w:val="36"/>
        </w:rPr>
        <w:t>Risk Management</w:t>
      </w:r>
      <w:r w:rsidR="00F22B0D" w:rsidRPr="00CD341C">
        <w:rPr>
          <w:rFonts w:ascii="Verdana" w:hAnsi="Verdana"/>
          <w:sz w:val="36"/>
          <w:szCs w:val="36"/>
        </w:rPr>
        <w:tab/>
      </w:r>
      <w:r w:rsidR="00F22B0D" w:rsidRPr="00CD341C">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sidR="009E506A">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sidR="00F22B0D" w:rsidRPr="00CD341C">
        <w:rPr>
          <w:rFonts w:ascii="Verdana" w:hAnsi="Verdana"/>
          <w:sz w:val="36"/>
          <w:szCs w:val="36"/>
        </w:rPr>
        <w:t>1</w:t>
      </w:r>
      <w:r w:rsidR="00BB7AF7">
        <w:rPr>
          <w:rFonts w:ascii="Verdana" w:hAnsi="Verdana"/>
          <w:sz w:val="36"/>
          <w:szCs w:val="36"/>
        </w:rPr>
        <w:t>6</w:t>
      </w:r>
    </w:p>
    <w:p w14:paraId="77456996" w14:textId="7EA0A7F2" w:rsidR="00BE7B7A" w:rsidRPr="00CD341C" w:rsidRDefault="000C319D" w:rsidP="00745402">
      <w:pPr>
        <w:rPr>
          <w:rFonts w:ascii="Verdana" w:hAnsi="Verdana"/>
          <w:sz w:val="36"/>
          <w:szCs w:val="36"/>
        </w:rPr>
      </w:pPr>
      <w:r w:rsidRPr="00CD341C">
        <w:rPr>
          <w:rFonts w:ascii="Verdana" w:hAnsi="Verdana"/>
          <w:sz w:val="36"/>
          <w:szCs w:val="36"/>
        </w:rPr>
        <w:t xml:space="preserve">Working </w:t>
      </w:r>
      <w:r w:rsidR="004A12A8" w:rsidRPr="00CD341C">
        <w:rPr>
          <w:rFonts w:ascii="Verdana" w:hAnsi="Verdana"/>
          <w:sz w:val="36"/>
          <w:szCs w:val="36"/>
        </w:rPr>
        <w:t>with</w:t>
      </w:r>
      <w:r w:rsidRPr="00CD341C">
        <w:rPr>
          <w:rFonts w:ascii="Verdana" w:hAnsi="Verdana"/>
          <w:sz w:val="36"/>
          <w:szCs w:val="36"/>
        </w:rPr>
        <w:t xml:space="preserve"> </w:t>
      </w:r>
      <w:r w:rsidR="009E506A">
        <w:rPr>
          <w:rFonts w:ascii="Verdana" w:hAnsi="Verdana"/>
          <w:sz w:val="36"/>
          <w:szCs w:val="36"/>
        </w:rPr>
        <w:t>o</w:t>
      </w:r>
      <w:r w:rsidRPr="00CD341C">
        <w:rPr>
          <w:rFonts w:ascii="Verdana" w:hAnsi="Verdana"/>
          <w:sz w:val="36"/>
          <w:szCs w:val="36"/>
        </w:rPr>
        <w:t>thers</w:t>
      </w:r>
      <w:r w:rsidR="00BE7B7A" w:rsidRPr="00CD341C">
        <w:rPr>
          <w:rFonts w:ascii="Verdana" w:hAnsi="Verdana"/>
          <w:sz w:val="36"/>
          <w:szCs w:val="36"/>
        </w:rPr>
        <w:tab/>
      </w:r>
      <w:r w:rsidR="00BE7B7A" w:rsidRPr="00CD341C">
        <w:rPr>
          <w:rFonts w:ascii="Verdana" w:hAnsi="Verdana"/>
          <w:sz w:val="36"/>
          <w:szCs w:val="36"/>
        </w:rPr>
        <w:tab/>
      </w:r>
      <w:r w:rsidR="00BE7B7A" w:rsidRPr="00CD341C">
        <w:rPr>
          <w:rFonts w:ascii="Verdana" w:hAnsi="Verdana"/>
          <w:sz w:val="36"/>
          <w:szCs w:val="36"/>
        </w:rPr>
        <w:tab/>
      </w:r>
      <w:r w:rsidR="00BE7B7A" w:rsidRPr="00CD341C">
        <w:rPr>
          <w:rFonts w:ascii="Verdana" w:hAnsi="Verdana"/>
          <w:sz w:val="36"/>
          <w:szCs w:val="36"/>
        </w:rPr>
        <w:tab/>
      </w:r>
      <w:r w:rsidR="00BE7B7A" w:rsidRPr="00CD341C">
        <w:rPr>
          <w:rFonts w:ascii="Verdana" w:hAnsi="Verdana"/>
          <w:sz w:val="36"/>
          <w:szCs w:val="36"/>
        </w:rPr>
        <w:tab/>
      </w:r>
      <w:r w:rsidR="00BE7B7A" w:rsidRPr="00CD341C">
        <w:rPr>
          <w:rFonts w:ascii="Verdana" w:hAnsi="Verdana"/>
          <w:sz w:val="36"/>
          <w:szCs w:val="36"/>
        </w:rPr>
        <w:tab/>
      </w:r>
      <w:r w:rsidR="00BB7AF7">
        <w:rPr>
          <w:rFonts w:ascii="Verdana" w:hAnsi="Verdana"/>
          <w:sz w:val="36"/>
          <w:szCs w:val="36"/>
        </w:rPr>
        <w:t>19</w:t>
      </w:r>
    </w:p>
    <w:p w14:paraId="3CF0AA56" w14:textId="6C6344E2" w:rsidR="000C319D" w:rsidRDefault="00627ED9" w:rsidP="00745402">
      <w:pPr>
        <w:rPr>
          <w:rFonts w:ascii="Verdana" w:hAnsi="Verdana"/>
          <w:sz w:val="36"/>
          <w:szCs w:val="36"/>
        </w:rPr>
      </w:pPr>
      <w:r>
        <w:rPr>
          <w:rFonts w:ascii="Verdana" w:hAnsi="Verdana"/>
          <w:sz w:val="36"/>
          <w:szCs w:val="36"/>
        </w:rPr>
        <w:t>Health and Safety</w:t>
      </w:r>
      <w:r w:rsidR="00E617C8">
        <w:rPr>
          <w:rFonts w:ascii="Verdana" w:hAnsi="Verdana"/>
          <w:sz w:val="36"/>
          <w:szCs w:val="36"/>
        </w:rPr>
        <w:t xml:space="preserve"> training</w:t>
      </w:r>
      <w:r w:rsidR="000C319D" w:rsidRPr="00CD341C">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sidR="000C319D" w:rsidRPr="00CD341C">
        <w:rPr>
          <w:rFonts w:ascii="Verdana" w:hAnsi="Verdana"/>
          <w:sz w:val="36"/>
          <w:szCs w:val="36"/>
        </w:rPr>
        <w:tab/>
      </w:r>
      <w:r w:rsidR="00EE1A76">
        <w:rPr>
          <w:rFonts w:ascii="Verdana" w:hAnsi="Verdana"/>
          <w:sz w:val="36"/>
          <w:szCs w:val="36"/>
        </w:rPr>
        <w:t>2</w:t>
      </w:r>
      <w:r w:rsidR="00BB7AF7">
        <w:rPr>
          <w:rFonts w:ascii="Verdana" w:hAnsi="Verdana"/>
          <w:sz w:val="36"/>
          <w:szCs w:val="36"/>
        </w:rPr>
        <w:t>0</w:t>
      </w:r>
    </w:p>
    <w:p w14:paraId="309CA60B" w14:textId="0B4F3917" w:rsidR="00632962" w:rsidRDefault="00632962" w:rsidP="00745402">
      <w:pPr>
        <w:rPr>
          <w:rFonts w:ascii="Verdana" w:hAnsi="Verdana"/>
          <w:sz w:val="36"/>
          <w:szCs w:val="36"/>
        </w:rPr>
      </w:pPr>
      <w:r>
        <w:rPr>
          <w:rFonts w:ascii="Verdana" w:hAnsi="Verdana"/>
          <w:sz w:val="36"/>
          <w:szCs w:val="36"/>
        </w:rPr>
        <w:t>A look forward</w: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t>2</w:t>
      </w:r>
      <w:r w:rsidR="00BB7AF7">
        <w:rPr>
          <w:rFonts w:ascii="Verdana" w:hAnsi="Verdana"/>
          <w:sz w:val="36"/>
          <w:szCs w:val="36"/>
        </w:rPr>
        <w:t>1</w:t>
      </w:r>
    </w:p>
    <w:p w14:paraId="77C36F0B" w14:textId="3DFE6A74" w:rsidR="00E617C8" w:rsidRPr="00CD341C" w:rsidRDefault="00E617C8" w:rsidP="00745402">
      <w:pPr>
        <w:rPr>
          <w:rFonts w:ascii="Verdana" w:hAnsi="Verdana"/>
          <w:sz w:val="36"/>
          <w:szCs w:val="36"/>
        </w:rPr>
      </w:pPr>
      <w:r>
        <w:rPr>
          <w:rFonts w:ascii="Verdana" w:hAnsi="Verdana"/>
          <w:sz w:val="36"/>
          <w:szCs w:val="36"/>
        </w:rPr>
        <w:t>Performance indicators</w: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t>2</w:t>
      </w:r>
      <w:r w:rsidR="00BB7AF7">
        <w:rPr>
          <w:rFonts w:ascii="Verdana" w:hAnsi="Verdana"/>
          <w:sz w:val="36"/>
          <w:szCs w:val="36"/>
        </w:rPr>
        <w:t>2</w:t>
      </w:r>
    </w:p>
    <w:p w14:paraId="1F87F5FB" w14:textId="77777777" w:rsidR="006166F8" w:rsidRPr="00CD341C" w:rsidRDefault="0022718A" w:rsidP="00745402">
      <w:pPr>
        <w:rPr>
          <w:rFonts w:ascii="Verdana" w:hAnsi="Verdana"/>
          <w:sz w:val="36"/>
          <w:szCs w:val="36"/>
        </w:rPr>
      </w:pPr>
      <w:r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Pr="00CD341C">
        <w:rPr>
          <w:rFonts w:ascii="Verdana" w:hAnsi="Verdana"/>
          <w:sz w:val="36"/>
          <w:szCs w:val="36"/>
        </w:rPr>
        <w:tab/>
      </w:r>
      <w:r w:rsidR="00BE50C4" w:rsidRPr="00CD341C">
        <w:rPr>
          <w:rFonts w:ascii="Verdana" w:hAnsi="Verdana"/>
          <w:sz w:val="36"/>
          <w:szCs w:val="36"/>
        </w:rPr>
        <w:tab/>
      </w:r>
      <w:r w:rsidR="0062324B" w:rsidRPr="00CD341C">
        <w:rPr>
          <w:rFonts w:ascii="Verdana" w:hAnsi="Verdana"/>
          <w:sz w:val="36"/>
          <w:szCs w:val="36"/>
        </w:rPr>
        <w:tab/>
      </w:r>
    </w:p>
    <w:p w14:paraId="3DF450C3" w14:textId="77777777" w:rsidR="00BE50C4" w:rsidRPr="009E506A" w:rsidRDefault="00BE50C4" w:rsidP="00745402">
      <w:pPr>
        <w:rPr>
          <w:rFonts w:ascii="Verdana" w:hAnsi="Verdana"/>
          <w:sz w:val="36"/>
          <w:szCs w:val="36"/>
        </w:rPr>
      </w:pPr>
      <w:r w:rsidRPr="009E506A">
        <w:rPr>
          <w:rFonts w:ascii="Verdana" w:hAnsi="Verdana"/>
          <w:sz w:val="36"/>
          <w:szCs w:val="36"/>
        </w:rPr>
        <w:t>Appendi</w:t>
      </w:r>
      <w:r w:rsidR="00890E47" w:rsidRPr="009E506A">
        <w:rPr>
          <w:rFonts w:ascii="Verdana" w:hAnsi="Verdana"/>
          <w:sz w:val="36"/>
          <w:szCs w:val="36"/>
        </w:rPr>
        <w:t>x</w:t>
      </w:r>
      <w:r w:rsidRPr="009E506A">
        <w:rPr>
          <w:rFonts w:ascii="Verdana" w:hAnsi="Verdana"/>
          <w:sz w:val="36"/>
          <w:szCs w:val="36"/>
        </w:rPr>
        <w:t>:</w:t>
      </w:r>
    </w:p>
    <w:p w14:paraId="6C55CAF9" w14:textId="35423EEC" w:rsidR="00995900" w:rsidRPr="00D465C5" w:rsidRDefault="00BE50C4" w:rsidP="00D465C5">
      <w:pPr>
        <w:rPr>
          <w:rFonts w:ascii="Verdana" w:hAnsi="Verdana"/>
          <w:sz w:val="36"/>
          <w:szCs w:val="36"/>
        </w:rPr>
      </w:pPr>
      <w:r w:rsidRPr="006B73A8">
        <w:rPr>
          <w:rFonts w:ascii="Verdana" w:hAnsi="Verdana"/>
          <w:sz w:val="36"/>
          <w:szCs w:val="36"/>
        </w:rPr>
        <w:t>1.</w:t>
      </w:r>
      <w:r w:rsidR="0022718A" w:rsidRPr="006B73A8">
        <w:rPr>
          <w:rFonts w:ascii="Verdana" w:hAnsi="Verdana"/>
          <w:sz w:val="36"/>
          <w:szCs w:val="36"/>
        </w:rPr>
        <w:tab/>
      </w:r>
      <w:r w:rsidRPr="006B73A8">
        <w:rPr>
          <w:rFonts w:ascii="Verdana" w:hAnsi="Verdana"/>
          <w:sz w:val="36"/>
          <w:szCs w:val="36"/>
        </w:rPr>
        <w:t xml:space="preserve">BFRS </w:t>
      </w:r>
      <w:r w:rsidR="00627ED9">
        <w:rPr>
          <w:rFonts w:ascii="Verdana" w:hAnsi="Verdana"/>
          <w:sz w:val="36"/>
          <w:szCs w:val="36"/>
        </w:rPr>
        <w:t>Health and Safety</w:t>
      </w:r>
      <w:r w:rsidR="009D68E9" w:rsidRPr="006B73A8">
        <w:rPr>
          <w:rFonts w:ascii="Verdana" w:hAnsi="Verdana"/>
          <w:sz w:val="36"/>
          <w:szCs w:val="36"/>
        </w:rPr>
        <w:t xml:space="preserve"> </w:t>
      </w:r>
      <w:r w:rsidR="009E506A">
        <w:rPr>
          <w:rFonts w:ascii="Verdana" w:hAnsi="Verdana"/>
          <w:sz w:val="36"/>
          <w:szCs w:val="36"/>
        </w:rPr>
        <w:t>s</w:t>
      </w:r>
      <w:r w:rsidRPr="006B73A8">
        <w:rPr>
          <w:rFonts w:ascii="Verdana" w:hAnsi="Verdana"/>
          <w:sz w:val="36"/>
          <w:szCs w:val="36"/>
        </w:rPr>
        <w:t>tatistics</w:t>
      </w:r>
      <w:r w:rsidRPr="006B73A8">
        <w:rPr>
          <w:rFonts w:ascii="Verdana" w:hAnsi="Verdana"/>
          <w:sz w:val="36"/>
          <w:szCs w:val="36"/>
        </w:rPr>
        <w:tab/>
      </w:r>
      <w:r w:rsidR="008B5ABB" w:rsidRPr="006B73A8">
        <w:rPr>
          <w:rFonts w:ascii="Verdana" w:hAnsi="Verdana"/>
          <w:sz w:val="36"/>
          <w:szCs w:val="36"/>
        </w:rPr>
        <w:tab/>
      </w:r>
      <w:r w:rsidR="00E617C8">
        <w:rPr>
          <w:rFonts w:ascii="Verdana" w:hAnsi="Verdana"/>
          <w:sz w:val="36"/>
          <w:szCs w:val="36"/>
        </w:rPr>
        <w:t>2</w:t>
      </w:r>
      <w:r w:rsidR="00BB7AF7">
        <w:rPr>
          <w:rFonts w:ascii="Verdana" w:hAnsi="Verdana"/>
          <w:sz w:val="36"/>
          <w:szCs w:val="36"/>
        </w:rPr>
        <w:t>4</w:t>
      </w:r>
      <w:r w:rsidRPr="00BE50C4">
        <w:rPr>
          <w:rFonts w:ascii="Verdana" w:hAnsi="Verdana"/>
          <w:sz w:val="36"/>
          <w:szCs w:val="36"/>
        </w:rPr>
        <w:tab/>
      </w:r>
      <w:r w:rsidRPr="00BE50C4">
        <w:rPr>
          <w:rFonts w:ascii="Verdana" w:hAnsi="Verdana"/>
          <w:sz w:val="36"/>
          <w:szCs w:val="36"/>
        </w:rPr>
        <w:tab/>
      </w:r>
      <w:r w:rsidR="0022718A" w:rsidRPr="00BE50C4">
        <w:rPr>
          <w:rFonts w:ascii="Verdana" w:hAnsi="Verdana"/>
          <w:sz w:val="36"/>
          <w:szCs w:val="36"/>
        </w:rPr>
        <w:tab/>
      </w:r>
      <w:r w:rsidR="0022718A" w:rsidRPr="00BE50C4">
        <w:rPr>
          <w:rFonts w:ascii="Verdana" w:hAnsi="Verdana"/>
          <w:sz w:val="36"/>
          <w:szCs w:val="36"/>
        </w:rPr>
        <w:tab/>
      </w:r>
      <w:r w:rsidR="0022718A" w:rsidRPr="00BE50C4">
        <w:rPr>
          <w:rFonts w:ascii="Verdana" w:hAnsi="Verdana"/>
          <w:sz w:val="36"/>
          <w:szCs w:val="36"/>
        </w:rPr>
        <w:tab/>
      </w:r>
      <w:r w:rsidR="0022718A" w:rsidRPr="00BE50C4">
        <w:rPr>
          <w:rFonts w:ascii="Verdana" w:hAnsi="Verdana"/>
          <w:sz w:val="36"/>
          <w:szCs w:val="36"/>
        </w:rPr>
        <w:tab/>
      </w:r>
      <w:r w:rsidR="0022718A" w:rsidRPr="00BE50C4">
        <w:rPr>
          <w:rFonts w:ascii="Verdana" w:hAnsi="Verdana"/>
          <w:sz w:val="36"/>
          <w:szCs w:val="36"/>
        </w:rPr>
        <w:tab/>
      </w:r>
      <w:r w:rsidR="0022718A" w:rsidRPr="00BE50C4">
        <w:rPr>
          <w:rFonts w:ascii="Verdana" w:hAnsi="Verdana"/>
          <w:sz w:val="36"/>
          <w:szCs w:val="36"/>
        </w:rPr>
        <w:tab/>
      </w:r>
      <w:r w:rsidR="0022718A" w:rsidRPr="00BE50C4">
        <w:rPr>
          <w:rFonts w:ascii="Verdana" w:hAnsi="Verdana"/>
          <w:sz w:val="36"/>
          <w:szCs w:val="36"/>
        </w:rPr>
        <w:tab/>
      </w:r>
    </w:p>
    <w:p w14:paraId="69BC78E0" w14:textId="670956DA" w:rsidR="006F6C53" w:rsidRPr="00B73E59" w:rsidRDefault="00A14053" w:rsidP="00FF0FB3">
      <w:pPr>
        <w:pStyle w:val="Footer"/>
        <w:rPr>
          <w:rFonts w:ascii="Verdana" w:hAnsi="Verdana"/>
          <w:sz w:val="44"/>
          <w:szCs w:val="44"/>
        </w:rPr>
      </w:pPr>
      <w:r w:rsidRPr="009F37E4">
        <w:rPr>
          <w:rFonts w:ascii="Verdana" w:hAnsi="Verdana"/>
          <w:sz w:val="44"/>
          <w:szCs w:val="44"/>
        </w:rPr>
        <w:lastRenderedPageBreak/>
        <w:t>F</w:t>
      </w:r>
      <w:r w:rsidR="006F6C53" w:rsidRPr="009F37E4">
        <w:rPr>
          <w:rFonts w:ascii="Verdana" w:hAnsi="Verdana"/>
          <w:sz w:val="44"/>
          <w:szCs w:val="44"/>
        </w:rPr>
        <w:t>orewords</w:t>
      </w:r>
    </w:p>
    <w:p w14:paraId="30E32D9A" w14:textId="77777777" w:rsidR="00081E71" w:rsidRDefault="00081E71" w:rsidP="009F37E4">
      <w:pPr>
        <w:overflowPunct w:val="0"/>
        <w:autoSpaceDE w:val="0"/>
        <w:autoSpaceDN w:val="0"/>
        <w:spacing w:after="0"/>
        <w:rPr>
          <w:rFonts w:ascii="Verdana" w:hAnsi="Verdana"/>
        </w:rPr>
      </w:pPr>
    </w:p>
    <w:p w14:paraId="0EC8DEEA" w14:textId="77777777" w:rsidR="002A076D" w:rsidRDefault="002A076D" w:rsidP="002A076D">
      <w:pPr>
        <w:pStyle w:val="ListParagraph"/>
        <w:spacing w:before="240" w:after="0" w:line="240" w:lineRule="auto"/>
        <w:ind w:left="4320"/>
        <w:rPr>
          <w:rFonts w:ascii="Verdana" w:hAnsi="Verdana"/>
        </w:rPr>
      </w:pPr>
    </w:p>
    <w:p w14:paraId="6A93A512" w14:textId="202B918C" w:rsidR="002A076D" w:rsidRPr="00AB095A" w:rsidRDefault="002A076D" w:rsidP="002A076D">
      <w:pPr>
        <w:overflowPunct w:val="0"/>
        <w:autoSpaceDE w:val="0"/>
        <w:autoSpaceDN w:val="0"/>
        <w:ind w:left="1440"/>
        <w:rPr>
          <w:rFonts w:ascii="Verdana" w:hAnsi="Verdana"/>
          <w:i/>
        </w:rPr>
      </w:pPr>
      <w:r w:rsidRPr="00AB095A">
        <w:rPr>
          <w:rFonts w:ascii="Verdana" w:hAnsi="Verdana"/>
          <w:i/>
        </w:rPr>
        <w:t>“I am very pleased to be writing my second foreword to the annual Health, Safety and Wellbeing report</w:t>
      </w:r>
      <w:r w:rsidR="0088222C">
        <w:rPr>
          <w:rFonts w:ascii="Verdana" w:hAnsi="Verdana"/>
          <w:i/>
        </w:rPr>
        <w:t>.</w:t>
      </w:r>
      <w:r w:rsidRPr="00AB095A">
        <w:rPr>
          <w:rFonts w:ascii="Verdana" w:hAnsi="Verdana"/>
          <w:i/>
        </w:rPr>
        <w:t xml:space="preserve"> Whilst I wrote last year’s </w:t>
      </w:r>
      <w:r w:rsidR="0088222C">
        <w:rPr>
          <w:rFonts w:ascii="Verdana" w:hAnsi="Verdana"/>
          <w:i/>
        </w:rPr>
        <w:t xml:space="preserve">foreword </w:t>
      </w:r>
      <w:r w:rsidRPr="00AB095A">
        <w:rPr>
          <w:rFonts w:ascii="Verdana" w:hAnsi="Verdana"/>
          <w:i/>
        </w:rPr>
        <w:t>it related to the year with only 2 months of Covid</w:t>
      </w:r>
      <w:r w:rsidR="00B37C1B">
        <w:rPr>
          <w:rFonts w:ascii="Verdana" w:hAnsi="Verdana"/>
          <w:i/>
        </w:rPr>
        <w:t>-19</w:t>
      </w:r>
      <w:r w:rsidRPr="00AB095A">
        <w:rPr>
          <w:rFonts w:ascii="Verdana" w:hAnsi="Verdana"/>
          <w:i/>
        </w:rPr>
        <w:t xml:space="preserve">; this year the whole year has been overshadowed by Covid-19. You will read in the report how well the </w:t>
      </w:r>
      <w:r w:rsidR="0088222C">
        <w:rPr>
          <w:rFonts w:ascii="Verdana" w:hAnsi="Verdana"/>
          <w:i/>
        </w:rPr>
        <w:t>S</w:t>
      </w:r>
      <w:r w:rsidRPr="00AB095A">
        <w:rPr>
          <w:rFonts w:ascii="Verdana" w:hAnsi="Verdana"/>
          <w:i/>
        </w:rPr>
        <w:t xml:space="preserve">ervice </w:t>
      </w:r>
      <w:r w:rsidR="0088222C" w:rsidRPr="00AB095A">
        <w:rPr>
          <w:rFonts w:ascii="Verdana" w:hAnsi="Verdana"/>
          <w:i/>
        </w:rPr>
        <w:t xml:space="preserve">always coped with limited Covid-19 cases </w:t>
      </w:r>
      <w:r w:rsidR="0088222C">
        <w:rPr>
          <w:rFonts w:ascii="Verdana" w:hAnsi="Verdana"/>
          <w:i/>
        </w:rPr>
        <w:t xml:space="preserve">due to robust procedures being speedily implemented </w:t>
      </w:r>
      <w:r w:rsidR="0088222C" w:rsidRPr="00AB095A">
        <w:rPr>
          <w:rFonts w:ascii="Verdana" w:hAnsi="Verdana"/>
          <w:i/>
        </w:rPr>
        <w:t>and</w:t>
      </w:r>
      <w:r w:rsidRPr="00AB095A">
        <w:rPr>
          <w:rFonts w:ascii="Verdana" w:hAnsi="Verdana"/>
          <w:i/>
        </w:rPr>
        <w:t xml:space="preserve"> being fully operational</w:t>
      </w:r>
      <w:r w:rsidR="0088222C">
        <w:rPr>
          <w:rFonts w:ascii="Verdana" w:hAnsi="Verdana"/>
          <w:i/>
        </w:rPr>
        <w:t xml:space="preserve"> throughout the year</w:t>
      </w:r>
      <w:r w:rsidRPr="00AB095A">
        <w:rPr>
          <w:rFonts w:ascii="Verdana" w:hAnsi="Verdana"/>
          <w:i/>
        </w:rPr>
        <w:t xml:space="preserve">. The external work carried out by some firefighters to support others, including driving ambulances </w:t>
      </w:r>
      <w:r w:rsidR="0088222C">
        <w:rPr>
          <w:rFonts w:ascii="Verdana" w:hAnsi="Verdana"/>
          <w:i/>
        </w:rPr>
        <w:t xml:space="preserve">and delivering PPE, </w:t>
      </w:r>
      <w:r w:rsidR="00B37C1B">
        <w:rPr>
          <w:rFonts w:ascii="Verdana" w:hAnsi="Verdana"/>
          <w:i/>
        </w:rPr>
        <w:t xml:space="preserve">along with the dedication from Support staff to ensure operations continued, </w:t>
      </w:r>
      <w:r w:rsidRPr="00AB095A">
        <w:rPr>
          <w:rFonts w:ascii="Verdana" w:hAnsi="Verdana"/>
          <w:i/>
        </w:rPr>
        <w:t xml:space="preserve">exemplifies the ethos of the Service. I am proud the </w:t>
      </w:r>
      <w:r w:rsidR="0088222C" w:rsidRPr="00AB095A">
        <w:rPr>
          <w:rFonts w:ascii="Verdana" w:hAnsi="Verdana"/>
          <w:i/>
        </w:rPr>
        <w:t>Health, Safety and Wellbeing statistics continue to demonstrate how importantly we all treat these matters</w:t>
      </w:r>
      <w:r w:rsidR="0088222C">
        <w:rPr>
          <w:rFonts w:ascii="Verdana" w:hAnsi="Verdana"/>
          <w:i/>
        </w:rPr>
        <w:t>;</w:t>
      </w:r>
      <w:r w:rsidR="0088222C" w:rsidRPr="00AB095A">
        <w:rPr>
          <w:rFonts w:ascii="Verdana" w:hAnsi="Verdana"/>
          <w:i/>
        </w:rPr>
        <w:t xml:space="preserve"> however</w:t>
      </w:r>
      <w:r w:rsidR="0088222C">
        <w:rPr>
          <w:rFonts w:ascii="Verdana" w:hAnsi="Verdana"/>
          <w:i/>
        </w:rPr>
        <w:t>,</w:t>
      </w:r>
      <w:r w:rsidR="0088222C" w:rsidRPr="00AB095A">
        <w:rPr>
          <w:rFonts w:ascii="Verdana" w:hAnsi="Verdana"/>
          <w:i/>
        </w:rPr>
        <w:t xml:space="preserve"> we should not be complacent and must continue to reduce risks to our employees and the public we serve”.</w:t>
      </w:r>
    </w:p>
    <w:p w14:paraId="299687A9" w14:textId="27A8D03D" w:rsidR="006D332E" w:rsidRPr="002D5309" w:rsidRDefault="006D332E" w:rsidP="00AF42BB">
      <w:pPr>
        <w:overflowPunct w:val="0"/>
        <w:autoSpaceDE w:val="0"/>
        <w:autoSpaceDN w:val="0"/>
        <w:spacing w:after="0"/>
        <w:ind w:left="1440"/>
        <w:rPr>
          <w:rFonts w:ascii="Verdana" w:hAnsi="Verdana"/>
        </w:rPr>
      </w:pPr>
      <w:r w:rsidRPr="002D5309">
        <w:rPr>
          <w:rFonts w:ascii="Verdana" w:hAnsi="Verdana"/>
        </w:rPr>
        <w:tab/>
      </w:r>
      <w:r w:rsidRPr="002D5309">
        <w:rPr>
          <w:rFonts w:ascii="Verdana" w:hAnsi="Verdana"/>
        </w:rPr>
        <w:tab/>
      </w:r>
    </w:p>
    <w:p w14:paraId="0EDF2FC5" w14:textId="77777777" w:rsidR="00FC2254" w:rsidRPr="002D5309" w:rsidRDefault="006D332E" w:rsidP="009E506A">
      <w:pPr>
        <w:overflowPunct w:val="0"/>
        <w:autoSpaceDE w:val="0"/>
        <w:autoSpaceDN w:val="0"/>
        <w:spacing w:after="0"/>
        <w:ind w:left="2880"/>
        <w:rPr>
          <w:rFonts w:ascii="Verdana" w:hAnsi="Verdana"/>
        </w:rPr>
      </w:pPr>
      <w:r w:rsidRPr="002D5309">
        <w:rPr>
          <w:rFonts w:ascii="Verdana" w:hAnsi="Verdana"/>
        </w:rPr>
        <w:t xml:space="preserve">Councillor </w:t>
      </w:r>
      <w:r w:rsidR="002C6FFA" w:rsidRPr="002D5309">
        <w:rPr>
          <w:rFonts w:ascii="Verdana" w:hAnsi="Verdana"/>
        </w:rPr>
        <w:t>Keith McLean</w:t>
      </w:r>
    </w:p>
    <w:p w14:paraId="23385616" w14:textId="2800B81D" w:rsidR="00647450" w:rsidRPr="002D5309" w:rsidRDefault="006D332E" w:rsidP="009E506A">
      <w:pPr>
        <w:overflowPunct w:val="0"/>
        <w:autoSpaceDE w:val="0"/>
        <w:autoSpaceDN w:val="0"/>
        <w:spacing w:after="0"/>
        <w:ind w:left="1440"/>
        <w:rPr>
          <w:rFonts w:ascii="Verdana" w:hAnsi="Verdana"/>
        </w:rPr>
      </w:pPr>
      <w:r w:rsidRPr="002D5309">
        <w:rPr>
          <w:rFonts w:ascii="Verdana" w:hAnsi="Verdana"/>
        </w:rPr>
        <w:tab/>
      </w:r>
      <w:r w:rsidRPr="002D5309">
        <w:rPr>
          <w:rFonts w:ascii="Verdana" w:hAnsi="Verdana"/>
        </w:rPr>
        <w:tab/>
        <w:t xml:space="preserve">Lead Member for Health, Safety and </w:t>
      </w:r>
      <w:r w:rsidR="005F52B4">
        <w:rPr>
          <w:rFonts w:ascii="Verdana" w:hAnsi="Verdana"/>
        </w:rPr>
        <w:t>Wellbeing</w:t>
      </w:r>
    </w:p>
    <w:p w14:paraId="434B4257" w14:textId="77777777" w:rsidR="00235577" w:rsidRPr="002D5309" w:rsidRDefault="006D332E" w:rsidP="009E506A">
      <w:pPr>
        <w:overflowPunct w:val="0"/>
        <w:autoSpaceDE w:val="0"/>
        <w:autoSpaceDN w:val="0"/>
        <w:spacing w:after="0"/>
        <w:ind w:left="1440"/>
        <w:rPr>
          <w:rFonts w:ascii="Verdana" w:hAnsi="Verdana"/>
          <w:i/>
        </w:rPr>
      </w:pPr>
      <w:r w:rsidRPr="002D5309">
        <w:rPr>
          <w:rFonts w:ascii="Verdana" w:hAnsi="Verdana"/>
        </w:rPr>
        <w:tab/>
      </w:r>
      <w:r w:rsidRPr="002D5309">
        <w:rPr>
          <w:rFonts w:ascii="Verdana" w:hAnsi="Verdana"/>
        </w:rPr>
        <w:tab/>
        <w:t xml:space="preserve">Buckinghamshire </w:t>
      </w:r>
      <w:r w:rsidR="00F627BA" w:rsidRPr="002D5309">
        <w:rPr>
          <w:rFonts w:ascii="Verdana" w:hAnsi="Verdana"/>
        </w:rPr>
        <w:t>&amp;</w:t>
      </w:r>
      <w:r w:rsidRPr="002D5309">
        <w:rPr>
          <w:rFonts w:ascii="Verdana" w:hAnsi="Verdana"/>
        </w:rPr>
        <w:t xml:space="preserve"> Milton Keynes Fire Authority</w:t>
      </w:r>
      <w:r w:rsidR="00FC2254" w:rsidRPr="002D5309">
        <w:rPr>
          <w:rFonts w:ascii="Verdana" w:hAnsi="Verdana"/>
          <w:i/>
        </w:rPr>
        <w:t xml:space="preserve"> </w:t>
      </w:r>
    </w:p>
    <w:p w14:paraId="393CCDDC" w14:textId="77777777" w:rsidR="009E13EF" w:rsidRDefault="009E13EF" w:rsidP="009E506A">
      <w:pPr>
        <w:pStyle w:val="ListParagraph"/>
        <w:ind w:left="5040" w:firstLine="720"/>
        <w:rPr>
          <w:rFonts w:ascii="Verdana" w:hAnsi="Verdana"/>
          <w:i/>
          <w:highlight w:val="yellow"/>
        </w:rPr>
      </w:pPr>
    </w:p>
    <w:p w14:paraId="6CB24AFC" w14:textId="77777777" w:rsidR="006D332E" w:rsidRPr="00066139" w:rsidRDefault="006D332E" w:rsidP="009E506A">
      <w:pPr>
        <w:pStyle w:val="ListParagraph"/>
        <w:ind w:left="5040" w:firstLine="720"/>
        <w:rPr>
          <w:rFonts w:ascii="Verdana" w:hAnsi="Verdana"/>
          <w:i/>
          <w:highlight w:val="yellow"/>
        </w:rPr>
      </w:pPr>
    </w:p>
    <w:p w14:paraId="29E670FF" w14:textId="476D1B7C" w:rsidR="00EA022E" w:rsidRDefault="00EA022E" w:rsidP="00291CEC">
      <w:pPr>
        <w:ind w:left="1440"/>
      </w:pPr>
      <w:r>
        <w:rPr>
          <w:rFonts w:ascii="Verdana" w:hAnsi="Verdana"/>
          <w:i/>
          <w:iCs/>
        </w:rPr>
        <w:t>“As a result of the COVID-19 pandemic the way in which we work has changed significantly, with operational staff having to adapt to working with their communities and partner agencies virtually rather than face to face and support staff taking a blended approach of home and office working. Staff across the Service have gone above and beyond to ensure resources remain available to respond to emergency incidents and visit those members of our communities most at risk. Some have also volunteered to serve with South Central Ambulance Service in their hour of need.</w:t>
      </w:r>
      <w:r w:rsidR="00291CEC">
        <w:t xml:space="preserve"> </w:t>
      </w:r>
      <w:r>
        <w:rPr>
          <w:rFonts w:ascii="Verdana" w:hAnsi="Verdana"/>
          <w:i/>
          <w:iCs/>
        </w:rPr>
        <w:t xml:space="preserve">I am delighted to say that cases of COVID-19 amongst staff have remained low </w:t>
      </w:r>
      <w:r w:rsidR="00DB65ED">
        <w:rPr>
          <w:rFonts w:ascii="Verdana" w:hAnsi="Verdana"/>
          <w:i/>
          <w:iCs/>
        </w:rPr>
        <w:t>throughout,</w:t>
      </w:r>
      <w:r>
        <w:rPr>
          <w:rFonts w:ascii="Verdana" w:hAnsi="Verdana"/>
          <w:i/>
          <w:iCs/>
        </w:rPr>
        <w:t xml:space="preserve"> and this is due to the commitment of our staff in adhering to the rules implemented by the Government. “</w:t>
      </w:r>
    </w:p>
    <w:p w14:paraId="305374BA" w14:textId="77777777" w:rsidR="009E13EF" w:rsidRPr="007F6FA9" w:rsidRDefault="009E13EF" w:rsidP="009E506A">
      <w:pPr>
        <w:pStyle w:val="NormalWeb"/>
        <w:spacing w:before="0" w:beforeAutospacing="0" w:after="160" w:afterAutospacing="0"/>
        <w:ind w:left="1440"/>
        <w:rPr>
          <w:rFonts w:ascii="Verdana" w:hAnsi="Verdana"/>
          <w:i/>
        </w:rPr>
      </w:pPr>
    </w:p>
    <w:p w14:paraId="0CB1D9E4" w14:textId="77777777" w:rsidR="001F1150" w:rsidRDefault="00F4293E" w:rsidP="009E506A">
      <w:pPr>
        <w:pStyle w:val="ListParagraph"/>
        <w:ind w:left="426"/>
        <w:rPr>
          <w:rFonts w:ascii="Verdana" w:hAnsi="Verdana"/>
        </w:rPr>
      </w:pP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001F1150">
        <w:rPr>
          <w:rFonts w:ascii="Verdana" w:hAnsi="Verdana"/>
        </w:rPr>
        <w:t>Jason Thelwell</w:t>
      </w:r>
    </w:p>
    <w:p w14:paraId="1E00BCE6" w14:textId="77777777" w:rsidR="001F1150" w:rsidRDefault="00F4293E" w:rsidP="009E506A">
      <w:pPr>
        <w:pStyle w:val="ListParagraph"/>
        <w:ind w:left="426"/>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F1150">
        <w:rPr>
          <w:rFonts w:ascii="Verdana" w:hAnsi="Verdana"/>
        </w:rPr>
        <w:t>Chief Fire Officer and C</w:t>
      </w:r>
      <w:r w:rsidR="00EC13D9">
        <w:rPr>
          <w:rFonts w:ascii="Verdana" w:hAnsi="Verdana"/>
        </w:rPr>
        <w:t>hief Executive</w:t>
      </w:r>
    </w:p>
    <w:p w14:paraId="1D5B7875" w14:textId="77777777" w:rsidR="00EE09AC" w:rsidRPr="00F627BA" w:rsidRDefault="00F4293E" w:rsidP="00F627BA">
      <w:pPr>
        <w:pStyle w:val="ListParagraph"/>
        <w:ind w:left="426"/>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C13D9">
        <w:rPr>
          <w:rFonts w:ascii="Verdana" w:hAnsi="Verdana"/>
        </w:rPr>
        <w:t xml:space="preserve">Buckinghamshire </w:t>
      </w:r>
      <w:r w:rsidR="00F627BA">
        <w:rPr>
          <w:rFonts w:ascii="Verdana" w:hAnsi="Verdana"/>
        </w:rPr>
        <w:t>&amp;</w:t>
      </w:r>
      <w:r w:rsidR="00EC13D9">
        <w:rPr>
          <w:rFonts w:ascii="Verdana" w:hAnsi="Verdana"/>
        </w:rPr>
        <w:t xml:space="preserve"> Milton Keynes Fire</w:t>
      </w:r>
      <w:r w:rsidR="00F627BA">
        <w:rPr>
          <w:rFonts w:ascii="Verdana" w:hAnsi="Verdana"/>
        </w:rPr>
        <w:t xml:space="preserve"> </w:t>
      </w:r>
      <w:r>
        <w:rPr>
          <w:rFonts w:ascii="Verdana" w:hAnsi="Verdana"/>
        </w:rPr>
        <w:tab/>
      </w:r>
      <w:r w:rsidR="00EC13D9">
        <w:rPr>
          <w:rFonts w:ascii="Verdana" w:hAnsi="Verdana"/>
        </w:rPr>
        <w:t>Authority</w:t>
      </w:r>
    </w:p>
    <w:p w14:paraId="0FB7C615" w14:textId="6CAEADF0" w:rsidR="00285E39" w:rsidRPr="00DE50D5" w:rsidRDefault="00285E39" w:rsidP="00285E39">
      <w:pPr>
        <w:rPr>
          <w:rFonts w:ascii="Verdana" w:hAnsi="Verdana"/>
        </w:rPr>
      </w:pPr>
      <w:r w:rsidRPr="00EB1BE8">
        <w:rPr>
          <w:rFonts w:ascii="Verdana" w:hAnsi="Verdana"/>
          <w:sz w:val="44"/>
          <w:szCs w:val="44"/>
        </w:rPr>
        <w:lastRenderedPageBreak/>
        <w:t xml:space="preserve">Executive </w:t>
      </w:r>
      <w:r w:rsidR="00F627BA" w:rsidRPr="00EB1BE8">
        <w:rPr>
          <w:rFonts w:ascii="Verdana" w:hAnsi="Verdana"/>
          <w:sz w:val="44"/>
          <w:szCs w:val="44"/>
        </w:rPr>
        <w:t>s</w:t>
      </w:r>
      <w:r w:rsidRPr="00EB1BE8">
        <w:rPr>
          <w:rFonts w:ascii="Verdana" w:hAnsi="Verdana"/>
          <w:sz w:val="44"/>
          <w:szCs w:val="44"/>
        </w:rPr>
        <w:t>ummary</w:t>
      </w:r>
      <w:r w:rsidRPr="00DE50D5">
        <w:rPr>
          <w:rFonts w:ascii="Verdana" w:hAnsi="Verdana"/>
          <w:sz w:val="44"/>
          <w:szCs w:val="44"/>
        </w:rPr>
        <w:t xml:space="preserve"> </w:t>
      </w:r>
    </w:p>
    <w:p w14:paraId="1836C29D" w14:textId="5CB674F9" w:rsidR="00EA257D" w:rsidRPr="00DE3DDC" w:rsidRDefault="00EA257D" w:rsidP="00285E39">
      <w:pPr>
        <w:rPr>
          <w:rFonts w:ascii="Verdana" w:hAnsi="Verdana"/>
        </w:rPr>
      </w:pPr>
      <w:r>
        <w:rPr>
          <w:rFonts w:ascii="Verdana" w:hAnsi="Verdana"/>
          <w:b/>
        </w:rPr>
        <w:t>COVID-19 Pandemic</w:t>
      </w:r>
      <w:r w:rsidRPr="00B37785">
        <w:rPr>
          <w:rFonts w:ascii="Verdana" w:hAnsi="Verdana"/>
          <w:b/>
        </w:rPr>
        <w:t>:</w:t>
      </w:r>
      <w:r w:rsidRPr="00B37785">
        <w:rPr>
          <w:rFonts w:ascii="Verdana" w:hAnsi="Verdana"/>
        </w:rPr>
        <w:t xml:space="preserve"> </w:t>
      </w:r>
      <w:r w:rsidR="003D794C">
        <w:rPr>
          <w:rFonts w:ascii="Verdana" w:hAnsi="Verdana"/>
        </w:rPr>
        <w:t xml:space="preserve">With the advent of the first lockdown in March 2020, much of the year has been devoted to managing the pandemic internally and supporting the communities we serve. </w:t>
      </w:r>
      <w:r w:rsidR="00873CC3">
        <w:rPr>
          <w:rFonts w:ascii="Verdana" w:hAnsi="Verdana"/>
        </w:rPr>
        <w:t xml:space="preserve">All stations/sites </w:t>
      </w:r>
      <w:r w:rsidR="00D04F15">
        <w:rPr>
          <w:rFonts w:ascii="Verdana" w:hAnsi="Verdana"/>
        </w:rPr>
        <w:t xml:space="preserve">remain </w:t>
      </w:r>
      <w:r w:rsidR="00873CC3">
        <w:rPr>
          <w:rFonts w:ascii="Verdana" w:hAnsi="Verdana"/>
        </w:rPr>
        <w:t>COVID Secure</w:t>
      </w:r>
      <w:r w:rsidR="00D04F15">
        <w:rPr>
          <w:rFonts w:ascii="Verdana" w:hAnsi="Verdana"/>
        </w:rPr>
        <w:t xml:space="preserve">. The total number of COVID-19 cases </w:t>
      </w:r>
      <w:r w:rsidR="00706523">
        <w:rPr>
          <w:rFonts w:ascii="Verdana" w:hAnsi="Verdana"/>
        </w:rPr>
        <w:t xml:space="preserve">for the year 2020/21 is 38 which includes </w:t>
      </w:r>
      <w:r w:rsidR="00B232E3">
        <w:rPr>
          <w:rFonts w:ascii="Verdana" w:hAnsi="Verdana"/>
        </w:rPr>
        <w:t>four</w:t>
      </w:r>
      <w:r w:rsidR="00706523">
        <w:rPr>
          <w:rFonts w:ascii="Verdana" w:hAnsi="Verdana"/>
        </w:rPr>
        <w:t xml:space="preserve"> cases of long </w:t>
      </w:r>
      <w:r w:rsidR="00B70553">
        <w:rPr>
          <w:rFonts w:ascii="Verdana" w:hAnsi="Verdana"/>
        </w:rPr>
        <w:t>COVID</w:t>
      </w:r>
      <w:r w:rsidR="00706523">
        <w:rPr>
          <w:rFonts w:ascii="Verdana" w:hAnsi="Verdana"/>
        </w:rPr>
        <w:t>.</w:t>
      </w:r>
    </w:p>
    <w:p w14:paraId="07D4B03E" w14:textId="1E098AA9" w:rsidR="00F824B1" w:rsidRDefault="00F824B1" w:rsidP="00285E39">
      <w:pPr>
        <w:rPr>
          <w:rFonts w:ascii="Verdana" w:hAnsi="Verdana"/>
        </w:rPr>
      </w:pPr>
      <w:r w:rsidRPr="00DE50D5">
        <w:rPr>
          <w:rFonts w:ascii="Verdana" w:hAnsi="Verdana"/>
          <w:b/>
        </w:rPr>
        <w:t xml:space="preserve">Our performance: </w:t>
      </w:r>
      <w:r>
        <w:rPr>
          <w:rFonts w:ascii="Verdana" w:hAnsi="Verdana"/>
          <w:b/>
        </w:rPr>
        <w:t xml:space="preserve"> </w:t>
      </w:r>
      <w:r w:rsidR="00DE3DDC">
        <w:rPr>
          <w:rFonts w:ascii="Verdana" w:hAnsi="Verdana"/>
        </w:rPr>
        <w:t xml:space="preserve">The safety event statistics for the </w:t>
      </w:r>
      <w:r>
        <w:rPr>
          <w:rFonts w:ascii="Verdana" w:hAnsi="Verdana"/>
        </w:rPr>
        <w:t>year 20</w:t>
      </w:r>
      <w:r w:rsidR="00D80CCA">
        <w:rPr>
          <w:rFonts w:ascii="Verdana" w:hAnsi="Verdana"/>
        </w:rPr>
        <w:t>20</w:t>
      </w:r>
      <w:r>
        <w:rPr>
          <w:rFonts w:ascii="Verdana" w:hAnsi="Verdana"/>
        </w:rPr>
        <w:t>/</w:t>
      </w:r>
      <w:r w:rsidR="00A14053">
        <w:rPr>
          <w:rFonts w:ascii="Verdana" w:hAnsi="Verdana"/>
        </w:rPr>
        <w:t>2</w:t>
      </w:r>
      <w:r w:rsidR="00D80CCA">
        <w:rPr>
          <w:rFonts w:ascii="Verdana" w:hAnsi="Verdana"/>
        </w:rPr>
        <w:t>1</w:t>
      </w:r>
      <w:r w:rsidR="00DE3DDC">
        <w:rPr>
          <w:rFonts w:ascii="Verdana" w:hAnsi="Verdana"/>
        </w:rPr>
        <w:t xml:space="preserve"> identify that there has been a decrease in the number of events in </w:t>
      </w:r>
      <w:r w:rsidR="00AB1325">
        <w:rPr>
          <w:rFonts w:ascii="Verdana" w:hAnsi="Verdana"/>
        </w:rPr>
        <w:t>f</w:t>
      </w:r>
      <w:r w:rsidR="008E6491">
        <w:rPr>
          <w:rFonts w:ascii="Verdana" w:hAnsi="Verdana"/>
        </w:rPr>
        <w:t>ive</w:t>
      </w:r>
      <w:r w:rsidR="00AB1325">
        <w:rPr>
          <w:rFonts w:ascii="Verdana" w:hAnsi="Verdana"/>
        </w:rPr>
        <w:t xml:space="preserve"> of the seven</w:t>
      </w:r>
      <w:r w:rsidR="00DE3DDC">
        <w:rPr>
          <w:rFonts w:ascii="Verdana" w:hAnsi="Verdana"/>
        </w:rPr>
        <w:t xml:space="preserve"> areas</w:t>
      </w:r>
      <w:r w:rsidR="00E734DB">
        <w:rPr>
          <w:rFonts w:ascii="Verdana" w:hAnsi="Verdana"/>
        </w:rPr>
        <w:t xml:space="preserve">. </w:t>
      </w:r>
      <w:r w:rsidR="008E6491">
        <w:rPr>
          <w:rFonts w:ascii="Verdana" w:hAnsi="Verdana"/>
        </w:rPr>
        <w:t>This is a pleasing result</w:t>
      </w:r>
      <w:r w:rsidR="00AA7026">
        <w:rPr>
          <w:rFonts w:ascii="Verdana" w:hAnsi="Verdana"/>
        </w:rPr>
        <w:t>. There has been an increase of 18% in the number of equipment damage safety events</w:t>
      </w:r>
      <w:r w:rsidR="009C46F0">
        <w:rPr>
          <w:rFonts w:ascii="Verdana" w:hAnsi="Verdana"/>
        </w:rPr>
        <w:t>;</w:t>
      </w:r>
      <w:r w:rsidR="00B30657">
        <w:rPr>
          <w:rFonts w:ascii="Verdana" w:hAnsi="Verdana"/>
        </w:rPr>
        <w:t xml:space="preserve"> more detail is provided in the report. </w:t>
      </w:r>
      <w:r w:rsidR="00AA7026">
        <w:rPr>
          <w:rFonts w:ascii="Verdana" w:hAnsi="Verdana"/>
        </w:rPr>
        <w:t xml:space="preserve"> </w:t>
      </w:r>
    </w:p>
    <w:p w14:paraId="12F81A78" w14:textId="5BE64C7D" w:rsidR="00832F10" w:rsidRPr="00313F08" w:rsidRDefault="00285E39" w:rsidP="00832F10">
      <w:pPr>
        <w:rPr>
          <w:rFonts w:ascii="Verdana" w:hAnsi="Verdana"/>
        </w:rPr>
      </w:pPr>
      <w:r w:rsidRPr="009070F1">
        <w:rPr>
          <w:rFonts w:ascii="Verdana" w:hAnsi="Verdana"/>
          <w:b/>
        </w:rPr>
        <w:t xml:space="preserve">Employee </w:t>
      </w:r>
      <w:r w:rsidR="005F52B4">
        <w:rPr>
          <w:rFonts w:ascii="Verdana" w:hAnsi="Verdana"/>
          <w:b/>
        </w:rPr>
        <w:t>Wellbeing</w:t>
      </w:r>
      <w:r w:rsidRPr="009070F1">
        <w:rPr>
          <w:rFonts w:ascii="Verdana" w:hAnsi="Verdana"/>
          <w:b/>
        </w:rPr>
        <w:t xml:space="preserve">: </w:t>
      </w:r>
      <w:r>
        <w:rPr>
          <w:rFonts w:ascii="Verdana" w:hAnsi="Verdana"/>
          <w:b/>
        </w:rPr>
        <w:t xml:space="preserve"> </w:t>
      </w:r>
      <w:r w:rsidR="00832F10" w:rsidRPr="00947FBD">
        <w:rPr>
          <w:rFonts w:ascii="Verdana" w:hAnsi="Verdana"/>
        </w:rPr>
        <w:t xml:space="preserve">Sickness absence </w:t>
      </w:r>
      <w:r w:rsidR="00832F10" w:rsidRPr="00947FBD">
        <w:rPr>
          <w:rFonts w:ascii="Verdana" w:hAnsi="Verdana"/>
          <w:b/>
          <w:bCs/>
        </w:rPr>
        <w:t xml:space="preserve">reduced by 36.4% </w:t>
      </w:r>
      <w:r w:rsidR="00832F10" w:rsidRPr="00947FBD">
        <w:rPr>
          <w:rFonts w:ascii="Verdana" w:hAnsi="Verdana"/>
        </w:rPr>
        <w:t xml:space="preserve">and </w:t>
      </w:r>
      <w:r w:rsidR="00832F10" w:rsidRPr="00947FBD">
        <w:rPr>
          <w:rFonts w:ascii="Verdana" w:hAnsi="Verdana"/>
          <w:b/>
          <w:bCs/>
        </w:rPr>
        <w:t xml:space="preserve">33% </w:t>
      </w:r>
      <w:r w:rsidR="00832F10" w:rsidRPr="00947FBD">
        <w:rPr>
          <w:rFonts w:ascii="Verdana" w:hAnsi="Verdana"/>
        </w:rPr>
        <w:t>respectively for Wholetime and On Call employees in 2020/21 when compared to 2019/20</w:t>
      </w:r>
      <w:r w:rsidR="00832F10">
        <w:rPr>
          <w:rFonts w:ascii="Verdana" w:hAnsi="Verdana"/>
        </w:rPr>
        <w:t xml:space="preserve">. </w:t>
      </w:r>
      <w:r w:rsidR="00832F10" w:rsidRPr="00313F08">
        <w:rPr>
          <w:rFonts w:ascii="Verdana" w:hAnsi="Verdana"/>
        </w:rPr>
        <w:t xml:space="preserve">Support </w:t>
      </w:r>
      <w:r w:rsidR="00A640E8">
        <w:rPr>
          <w:rFonts w:ascii="Verdana" w:hAnsi="Verdana"/>
        </w:rPr>
        <w:t xml:space="preserve">staff </w:t>
      </w:r>
      <w:r w:rsidR="00832F10" w:rsidRPr="00313F08">
        <w:rPr>
          <w:rFonts w:ascii="Verdana" w:hAnsi="Verdana"/>
        </w:rPr>
        <w:t xml:space="preserve">employee’s sickness levels saw an </w:t>
      </w:r>
      <w:r w:rsidR="00832F10" w:rsidRPr="00313F08">
        <w:rPr>
          <w:rFonts w:ascii="Verdana" w:hAnsi="Verdana"/>
          <w:b/>
          <w:bCs/>
        </w:rPr>
        <w:t xml:space="preserve">increase of 18.2% </w:t>
      </w:r>
      <w:r w:rsidR="00832F10" w:rsidRPr="00313F08">
        <w:rPr>
          <w:rFonts w:ascii="Verdana" w:hAnsi="Verdana"/>
        </w:rPr>
        <w:t xml:space="preserve">for the same period. This was mainly due to an increase in </w:t>
      </w:r>
      <w:r w:rsidR="00832F10" w:rsidRPr="00313F08">
        <w:rPr>
          <w:rFonts w:ascii="Verdana" w:hAnsi="Verdana"/>
          <w:i/>
          <w:iCs/>
        </w:rPr>
        <w:t xml:space="preserve">long-term </w:t>
      </w:r>
      <w:r w:rsidR="00832F10" w:rsidRPr="00313F08">
        <w:rPr>
          <w:rFonts w:ascii="Verdana" w:hAnsi="Verdana"/>
        </w:rPr>
        <w:t>sickness.</w:t>
      </w:r>
    </w:p>
    <w:p w14:paraId="5CAB4276" w14:textId="7AA7FB5B" w:rsidR="004E2689" w:rsidRDefault="002D05A4" w:rsidP="004E2689">
      <w:pPr>
        <w:rPr>
          <w:rFonts w:ascii="Verdana" w:hAnsi="Verdana"/>
          <w:noProof/>
          <w:lang w:eastAsia="en-GB"/>
        </w:rPr>
      </w:pPr>
      <w:r w:rsidRPr="002D05A4">
        <w:rPr>
          <w:rFonts w:ascii="Verdana" w:hAnsi="Verdana"/>
          <w:b/>
        </w:rPr>
        <w:t>Blue Light Hub</w:t>
      </w:r>
      <w:r w:rsidR="004E2689">
        <w:rPr>
          <w:rFonts w:ascii="Verdana" w:hAnsi="Verdana"/>
          <w:b/>
        </w:rPr>
        <w:t xml:space="preserve">: </w:t>
      </w:r>
      <w:r w:rsidR="00693B11">
        <w:rPr>
          <w:rFonts w:ascii="Verdana" w:hAnsi="Verdana"/>
          <w:noProof/>
          <w:lang w:eastAsia="en-GB"/>
        </w:rPr>
        <w:t xml:space="preserve"> </w:t>
      </w:r>
      <w:r w:rsidR="004E2689">
        <w:rPr>
          <w:rFonts w:ascii="Verdana" w:hAnsi="Verdana"/>
          <w:noProof/>
          <w:lang w:eastAsia="en-GB"/>
        </w:rPr>
        <w:t xml:space="preserve">Crews from Great Holm and Bletchley fire stations moved into their new home at West Ashland fire station within the </w:t>
      </w:r>
      <w:r w:rsidR="00A640E8">
        <w:rPr>
          <w:rFonts w:ascii="Verdana" w:hAnsi="Verdana"/>
          <w:noProof/>
          <w:lang w:eastAsia="en-GB"/>
        </w:rPr>
        <w:t>B</w:t>
      </w:r>
      <w:r w:rsidR="004E2689">
        <w:rPr>
          <w:rFonts w:ascii="Verdana" w:hAnsi="Verdana"/>
          <w:noProof/>
          <w:lang w:eastAsia="en-GB"/>
        </w:rPr>
        <w:t xml:space="preserve">lue </w:t>
      </w:r>
      <w:r w:rsidR="00A640E8">
        <w:rPr>
          <w:rFonts w:ascii="Verdana" w:hAnsi="Verdana"/>
          <w:noProof/>
          <w:lang w:eastAsia="en-GB"/>
        </w:rPr>
        <w:t>L</w:t>
      </w:r>
      <w:r w:rsidR="004E2689">
        <w:rPr>
          <w:rFonts w:ascii="Verdana" w:hAnsi="Verdana"/>
          <w:noProof/>
          <w:lang w:eastAsia="en-GB"/>
        </w:rPr>
        <w:t xml:space="preserve">ight </w:t>
      </w:r>
      <w:r w:rsidR="00A640E8">
        <w:rPr>
          <w:rFonts w:ascii="Verdana" w:hAnsi="Verdana"/>
          <w:noProof/>
          <w:lang w:eastAsia="en-GB"/>
        </w:rPr>
        <w:t>H</w:t>
      </w:r>
      <w:r w:rsidR="004E2689">
        <w:rPr>
          <w:rFonts w:ascii="Verdana" w:hAnsi="Verdana"/>
          <w:noProof/>
          <w:lang w:eastAsia="en-GB"/>
        </w:rPr>
        <w:t>ub on 30</w:t>
      </w:r>
      <w:r w:rsidR="004E2689">
        <w:rPr>
          <w:rFonts w:ascii="Verdana" w:hAnsi="Verdana"/>
          <w:noProof/>
          <w:vertAlign w:val="superscript"/>
          <w:lang w:eastAsia="en-GB"/>
        </w:rPr>
        <w:t xml:space="preserve"> </w:t>
      </w:r>
      <w:r w:rsidR="004E2689">
        <w:rPr>
          <w:rFonts w:ascii="Verdana" w:hAnsi="Verdana"/>
          <w:noProof/>
          <w:lang w:eastAsia="en-GB"/>
        </w:rPr>
        <w:t xml:space="preserve">June 2020. The move went well and alerting crews to emergency incidents during the switch was seamless. Overall, they were very happy with their new facilities and </w:t>
      </w:r>
      <w:r w:rsidR="00220AF5">
        <w:rPr>
          <w:rFonts w:ascii="Verdana" w:hAnsi="Verdana"/>
          <w:noProof/>
          <w:lang w:eastAsia="en-GB"/>
        </w:rPr>
        <w:t xml:space="preserve">have </w:t>
      </w:r>
      <w:r w:rsidR="004E2689">
        <w:rPr>
          <w:rFonts w:ascii="Verdana" w:hAnsi="Verdana"/>
          <w:noProof/>
          <w:lang w:eastAsia="en-GB"/>
        </w:rPr>
        <w:t xml:space="preserve">settled in quickly. </w:t>
      </w:r>
    </w:p>
    <w:p w14:paraId="19EEFB3D" w14:textId="5F53B037" w:rsidR="00E9337D" w:rsidRDefault="00A048FC" w:rsidP="00B232E3">
      <w:pPr>
        <w:pStyle w:val="CommentText"/>
        <w:spacing w:line="276" w:lineRule="auto"/>
      </w:pPr>
      <w:r>
        <w:rPr>
          <w:rFonts w:ascii="Verdana" w:hAnsi="Verdana"/>
          <w:b/>
          <w:sz w:val="22"/>
          <w:szCs w:val="22"/>
        </w:rPr>
        <w:t>Protecting Firefighters against contaminants</w:t>
      </w:r>
      <w:r w:rsidRPr="005B5EC2">
        <w:rPr>
          <w:rFonts w:ascii="Verdana" w:hAnsi="Verdana"/>
          <w:b/>
          <w:sz w:val="22"/>
          <w:szCs w:val="22"/>
        </w:rPr>
        <w:t>:</w:t>
      </w:r>
      <w:r w:rsidR="00D637AC" w:rsidRPr="005B5EC2">
        <w:rPr>
          <w:rFonts w:ascii="Verdana" w:hAnsi="Verdana"/>
          <w:b/>
          <w:sz w:val="22"/>
          <w:szCs w:val="22"/>
        </w:rPr>
        <w:t xml:space="preserve"> </w:t>
      </w:r>
      <w:r w:rsidR="00B72D1C" w:rsidRPr="005B5EC2">
        <w:rPr>
          <w:rFonts w:ascii="Verdana" w:hAnsi="Verdana"/>
          <w:bCs/>
          <w:sz w:val="22"/>
          <w:szCs w:val="22"/>
        </w:rPr>
        <w:t>Back in 2019</w:t>
      </w:r>
      <w:r w:rsidR="005B5EC2">
        <w:rPr>
          <w:rFonts w:ascii="Verdana" w:hAnsi="Verdana"/>
          <w:bCs/>
          <w:sz w:val="22"/>
          <w:szCs w:val="22"/>
        </w:rPr>
        <w:t>, t</w:t>
      </w:r>
      <w:r w:rsidR="00D637AC" w:rsidRPr="005B5EC2">
        <w:rPr>
          <w:rFonts w:ascii="Verdana" w:hAnsi="Verdana"/>
          <w:sz w:val="22"/>
          <w:szCs w:val="22"/>
        </w:rPr>
        <w:t>he</w:t>
      </w:r>
      <w:r w:rsidR="00D637AC">
        <w:rPr>
          <w:rFonts w:ascii="Verdana" w:hAnsi="Verdana"/>
          <w:sz w:val="22"/>
          <w:szCs w:val="22"/>
        </w:rPr>
        <w:t xml:space="preserve"> Fire Brigades Union (FBU) commenced a contaminants project, in conjunction with Professor Anna </w:t>
      </w:r>
      <w:proofErr w:type="spellStart"/>
      <w:r w:rsidR="00D637AC">
        <w:rPr>
          <w:rFonts w:ascii="Verdana" w:hAnsi="Verdana"/>
          <w:sz w:val="22"/>
          <w:szCs w:val="22"/>
        </w:rPr>
        <w:t>Stec</w:t>
      </w:r>
      <w:proofErr w:type="spellEnd"/>
      <w:r w:rsidR="00D637AC">
        <w:rPr>
          <w:rFonts w:ascii="Verdana" w:hAnsi="Verdana"/>
          <w:sz w:val="22"/>
          <w:szCs w:val="22"/>
        </w:rPr>
        <w:t xml:space="preserve"> from the University of Central Lancashire, which involves the analysis of blood, urine and hair to determine if and at what level contaminants are present. As a result of this research the FBU published an interim report - “Minimising firefighters’ exposure to toxic fire effluents”</w:t>
      </w:r>
      <w:r w:rsidR="00AA39DB">
        <w:rPr>
          <w:rFonts w:ascii="Verdana" w:hAnsi="Verdana"/>
          <w:sz w:val="22"/>
          <w:szCs w:val="22"/>
        </w:rPr>
        <w:t>.</w:t>
      </w:r>
      <w:r w:rsidR="00E9337D">
        <w:rPr>
          <w:rFonts w:ascii="Verdana" w:hAnsi="Verdana"/>
          <w:sz w:val="22"/>
          <w:szCs w:val="22"/>
        </w:rPr>
        <w:t xml:space="preserve"> </w:t>
      </w:r>
      <w:r w:rsidR="00E9337D" w:rsidRPr="000C788C">
        <w:rPr>
          <w:rFonts w:ascii="Verdana" w:hAnsi="Verdana"/>
          <w:sz w:val="22"/>
          <w:szCs w:val="22"/>
        </w:rPr>
        <w:t xml:space="preserve">We </w:t>
      </w:r>
      <w:r w:rsidR="00B232E3">
        <w:rPr>
          <w:rFonts w:ascii="Verdana" w:hAnsi="Verdana"/>
          <w:sz w:val="22"/>
          <w:szCs w:val="22"/>
        </w:rPr>
        <w:t>have reviewed</w:t>
      </w:r>
      <w:r w:rsidR="00E9337D" w:rsidRPr="000C788C">
        <w:rPr>
          <w:rFonts w:ascii="Verdana" w:hAnsi="Verdana"/>
          <w:sz w:val="22"/>
          <w:szCs w:val="22"/>
        </w:rPr>
        <w:t xml:space="preserve"> the recommendations contained within this interim report and we continue to take all reasonable steps to protect the health and wellbeing of our staff.</w:t>
      </w:r>
      <w:r w:rsidR="00E9337D" w:rsidRPr="000C788C">
        <w:rPr>
          <w:sz w:val="22"/>
          <w:szCs w:val="22"/>
        </w:rPr>
        <w:t xml:space="preserve">  </w:t>
      </w:r>
    </w:p>
    <w:p w14:paraId="2910B78D" w14:textId="77777777" w:rsidR="00220AF5" w:rsidRDefault="00102D72" w:rsidP="00220AF5">
      <w:pPr>
        <w:spacing w:after="0"/>
        <w:rPr>
          <w:rFonts w:ascii="Verdana" w:hAnsi="Verdana"/>
        </w:rPr>
      </w:pPr>
      <w:r>
        <w:rPr>
          <w:rFonts w:ascii="Verdana" w:hAnsi="Verdana"/>
          <w:b/>
        </w:rPr>
        <w:t xml:space="preserve">Working with others: </w:t>
      </w:r>
      <w:r w:rsidR="00220AF5">
        <w:rPr>
          <w:rFonts w:ascii="Verdana" w:hAnsi="Verdana"/>
        </w:rPr>
        <w:t xml:space="preserve">The pandemic has necessitated the requirement for departments to work more closely together. The Pandemic Response and Recovery groups comprise middle managers and department heads who have worked tirelessly to respond to and recover from COVID-19 throughout the past 18 months. </w:t>
      </w:r>
    </w:p>
    <w:p w14:paraId="271C609E" w14:textId="015E67E8" w:rsidR="00166077" w:rsidRPr="001D0E4B" w:rsidRDefault="00166077" w:rsidP="001D0E4B">
      <w:pPr>
        <w:spacing w:after="0"/>
        <w:rPr>
          <w:rFonts w:ascii="Verdana" w:hAnsi="Verdana"/>
        </w:rPr>
      </w:pPr>
    </w:p>
    <w:p w14:paraId="31DAA6F7" w14:textId="77777777" w:rsidR="003D794C" w:rsidRDefault="003D794C" w:rsidP="009E13EF">
      <w:pPr>
        <w:rPr>
          <w:rFonts w:ascii="Verdana" w:hAnsi="Verdana"/>
          <w:sz w:val="44"/>
          <w:szCs w:val="44"/>
        </w:rPr>
      </w:pPr>
    </w:p>
    <w:p w14:paraId="06B3503D" w14:textId="7B1C1AAD" w:rsidR="009E13EF" w:rsidRPr="004A7FC3" w:rsidRDefault="005E2140" w:rsidP="009E13EF">
      <w:pPr>
        <w:rPr>
          <w:rFonts w:ascii="Verdana" w:hAnsi="Verdana"/>
          <w:sz w:val="44"/>
          <w:szCs w:val="44"/>
        </w:rPr>
      </w:pPr>
      <w:r w:rsidRPr="004A7FC3">
        <w:rPr>
          <w:rFonts w:ascii="Verdana" w:hAnsi="Verdana"/>
          <w:sz w:val="44"/>
          <w:szCs w:val="44"/>
        </w:rPr>
        <w:lastRenderedPageBreak/>
        <w:t>COVID-19 pandemic</w:t>
      </w:r>
    </w:p>
    <w:p w14:paraId="2819E889" w14:textId="35D6B7EB" w:rsidR="00FF3678" w:rsidRDefault="00A62AAE" w:rsidP="00FF3678">
      <w:pPr>
        <w:rPr>
          <w:rFonts w:ascii="Verdana" w:hAnsi="Verdana"/>
        </w:rPr>
      </w:pPr>
      <w:r>
        <w:rPr>
          <w:rFonts w:ascii="Verdana" w:hAnsi="Verdana"/>
        </w:rPr>
        <w:t xml:space="preserve">With the </w:t>
      </w:r>
      <w:r w:rsidR="007A31CE">
        <w:rPr>
          <w:rFonts w:ascii="Verdana" w:hAnsi="Verdana"/>
        </w:rPr>
        <w:t xml:space="preserve">advent of the </w:t>
      </w:r>
      <w:r>
        <w:rPr>
          <w:rFonts w:ascii="Verdana" w:hAnsi="Verdana"/>
        </w:rPr>
        <w:t xml:space="preserve">first lockdown </w:t>
      </w:r>
      <w:r w:rsidR="007A31CE">
        <w:rPr>
          <w:rFonts w:ascii="Verdana" w:hAnsi="Verdana"/>
        </w:rPr>
        <w:t xml:space="preserve">in March 2020, much of the </w:t>
      </w:r>
      <w:r w:rsidR="001B3772">
        <w:rPr>
          <w:rFonts w:ascii="Verdana" w:hAnsi="Verdana"/>
        </w:rPr>
        <w:t xml:space="preserve">year has been devoted to managing the pandemic </w:t>
      </w:r>
      <w:r w:rsidR="00A43520">
        <w:rPr>
          <w:rFonts w:ascii="Verdana" w:hAnsi="Verdana"/>
        </w:rPr>
        <w:t xml:space="preserve">internally and </w:t>
      </w:r>
      <w:r w:rsidR="004B3823">
        <w:rPr>
          <w:rFonts w:ascii="Verdana" w:hAnsi="Verdana"/>
        </w:rPr>
        <w:t>supporting the</w:t>
      </w:r>
      <w:r w:rsidR="00226ACB">
        <w:rPr>
          <w:rFonts w:ascii="Verdana" w:hAnsi="Verdana"/>
        </w:rPr>
        <w:t xml:space="preserve"> communities we serve</w:t>
      </w:r>
      <w:r w:rsidR="000808C9">
        <w:rPr>
          <w:rFonts w:ascii="Verdana" w:hAnsi="Verdana"/>
        </w:rPr>
        <w:t xml:space="preserve">. </w:t>
      </w:r>
      <w:r w:rsidR="00D6378F">
        <w:rPr>
          <w:rFonts w:ascii="Verdana" w:hAnsi="Verdana"/>
        </w:rPr>
        <w:t xml:space="preserve">Throughout the year </w:t>
      </w:r>
      <w:r w:rsidR="00480481">
        <w:rPr>
          <w:rFonts w:ascii="Verdana" w:hAnsi="Verdana"/>
        </w:rPr>
        <w:t xml:space="preserve">the Service has </w:t>
      </w:r>
      <w:r w:rsidR="008C370A">
        <w:rPr>
          <w:rFonts w:ascii="Verdana" w:hAnsi="Verdana"/>
        </w:rPr>
        <w:t xml:space="preserve">assisted partner agencies and local authorities in a variety of ways from </w:t>
      </w:r>
      <w:r w:rsidR="00EC3396">
        <w:rPr>
          <w:rFonts w:ascii="Verdana" w:hAnsi="Verdana"/>
        </w:rPr>
        <w:t xml:space="preserve">training care home staff </w:t>
      </w:r>
      <w:r w:rsidR="007C08AD">
        <w:rPr>
          <w:rFonts w:ascii="Verdana" w:hAnsi="Verdana"/>
        </w:rPr>
        <w:t xml:space="preserve">in infection control </w:t>
      </w:r>
      <w:r w:rsidR="00EC3396">
        <w:rPr>
          <w:rFonts w:ascii="Verdana" w:hAnsi="Verdana"/>
        </w:rPr>
        <w:t xml:space="preserve">to </w:t>
      </w:r>
      <w:r w:rsidR="00CE2F0E">
        <w:rPr>
          <w:rFonts w:ascii="Verdana" w:hAnsi="Verdana"/>
        </w:rPr>
        <w:t xml:space="preserve">setting up and managing COVID-19 mass vaccination centres. </w:t>
      </w:r>
      <w:r w:rsidR="00E66E0A">
        <w:rPr>
          <w:rFonts w:ascii="Verdana" w:hAnsi="Verdana"/>
        </w:rPr>
        <w:t>Other examples</w:t>
      </w:r>
      <w:r w:rsidR="00C8211C">
        <w:rPr>
          <w:rFonts w:ascii="Verdana" w:hAnsi="Verdana"/>
        </w:rPr>
        <w:t>, both internal and external</w:t>
      </w:r>
      <w:r w:rsidR="00E66E0A">
        <w:rPr>
          <w:rFonts w:ascii="Verdana" w:hAnsi="Verdana"/>
        </w:rPr>
        <w:t xml:space="preserve"> are detailed below.</w:t>
      </w:r>
    </w:p>
    <w:p w14:paraId="4AF67A1D" w14:textId="5AFD6350" w:rsidR="007A3507" w:rsidRDefault="00774CAF" w:rsidP="00FF3678">
      <w:pPr>
        <w:rPr>
          <w:rFonts w:ascii="Verdana" w:hAnsi="Verdana"/>
        </w:rPr>
      </w:pPr>
      <w:r w:rsidRPr="00F621E6">
        <w:rPr>
          <w:rFonts w:ascii="Verdana" w:hAnsi="Verdana"/>
          <w:b/>
          <w:bCs/>
        </w:rPr>
        <w:t>Internal</w:t>
      </w:r>
      <w:r w:rsidR="00EA01E2">
        <w:rPr>
          <w:rFonts w:ascii="Verdana" w:hAnsi="Verdana"/>
          <w:b/>
          <w:bCs/>
        </w:rPr>
        <w:t>ly</w:t>
      </w:r>
      <w:r>
        <w:rPr>
          <w:rFonts w:ascii="Verdana" w:hAnsi="Verdana"/>
        </w:rPr>
        <w:t xml:space="preserve"> </w:t>
      </w:r>
      <w:r w:rsidR="00D13271">
        <w:rPr>
          <w:rFonts w:ascii="Verdana" w:hAnsi="Verdana"/>
        </w:rPr>
        <w:t>–</w:t>
      </w:r>
      <w:r>
        <w:rPr>
          <w:rFonts w:ascii="Verdana" w:hAnsi="Verdana"/>
        </w:rPr>
        <w:t xml:space="preserve"> </w:t>
      </w:r>
      <w:r w:rsidR="005C4BB6">
        <w:rPr>
          <w:rFonts w:ascii="Verdana" w:hAnsi="Verdana"/>
        </w:rPr>
        <w:t>With the introduction of COVID-19 specific legislation</w:t>
      </w:r>
      <w:r w:rsidR="00E27D13">
        <w:rPr>
          <w:rFonts w:ascii="Verdana" w:hAnsi="Verdana"/>
        </w:rPr>
        <w:t xml:space="preserve"> by the Government</w:t>
      </w:r>
      <w:r w:rsidR="00AD0FED">
        <w:rPr>
          <w:rFonts w:ascii="Verdana" w:hAnsi="Verdana"/>
        </w:rPr>
        <w:t>, it was necessary to ensure that the Service implemented appropriate measures to ensure compliance and to continue to protect employees</w:t>
      </w:r>
      <w:r w:rsidR="005C4BB6">
        <w:rPr>
          <w:rFonts w:ascii="Verdana" w:hAnsi="Verdana"/>
        </w:rPr>
        <w:t xml:space="preserve"> </w:t>
      </w:r>
      <w:r w:rsidR="00AD0FED">
        <w:rPr>
          <w:rFonts w:ascii="Verdana" w:hAnsi="Verdana"/>
        </w:rPr>
        <w:t xml:space="preserve">whilst at work. </w:t>
      </w:r>
      <w:r w:rsidR="000F0BD9">
        <w:rPr>
          <w:rFonts w:ascii="Verdana" w:hAnsi="Verdana"/>
        </w:rPr>
        <w:t xml:space="preserve">To achieve this </w:t>
      </w:r>
      <w:r w:rsidR="00540A24">
        <w:rPr>
          <w:rFonts w:ascii="Verdana" w:hAnsi="Verdana"/>
        </w:rPr>
        <w:t xml:space="preserve">all stations and sites </w:t>
      </w:r>
      <w:r w:rsidR="00D13271">
        <w:rPr>
          <w:rFonts w:ascii="Verdana" w:hAnsi="Verdana"/>
        </w:rPr>
        <w:t>were and remain COVID Secure</w:t>
      </w:r>
      <w:r w:rsidR="009E4982">
        <w:rPr>
          <w:rFonts w:ascii="Verdana" w:hAnsi="Verdana"/>
        </w:rPr>
        <w:t xml:space="preserve"> with </w:t>
      </w:r>
      <w:r w:rsidR="007A3507">
        <w:rPr>
          <w:rFonts w:ascii="Verdana" w:hAnsi="Verdana"/>
        </w:rPr>
        <w:t>the following in place:</w:t>
      </w:r>
    </w:p>
    <w:p w14:paraId="60E5519E" w14:textId="08111DAC" w:rsidR="007A3507" w:rsidRDefault="009E4982" w:rsidP="007A3507">
      <w:pPr>
        <w:pStyle w:val="ListParagraph"/>
        <w:numPr>
          <w:ilvl w:val="0"/>
          <w:numId w:val="40"/>
        </w:numPr>
        <w:rPr>
          <w:rFonts w:ascii="Verdana" w:hAnsi="Verdana"/>
        </w:rPr>
      </w:pPr>
      <w:r w:rsidRPr="007A3507">
        <w:rPr>
          <w:rFonts w:ascii="Verdana" w:hAnsi="Verdana"/>
        </w:rPr>
        <w:t xml:space="preserve">social distancing of </w:t>
      </w:r>
      <w:r w:rsidR="00B232E3">
        <w:rPr>
          <w:rFonts w:ascii="Verdana" w:hAnsi="Verdana"/>
        </w:rPr>
        <w:t>two</w:t>
      </w:r>
      <w:r w:rsidR="00A640E8">
        <w:rPr>
          <w:rFonts w:ascii="Verdana" w:hAnsi="Verdana"/>
        </w:rPr>
        <w:t xml:space="preserve"> </w:t>
      </w:r>
      <w:r w:rsidRPr="007A3507">
        <w:rPr>
          <w:rFonts w:ascii="Verdana" w:hAnsi="Verdana"/>
        </w:rPr>
        <w:t xml:space="preserve">metres </w:t>
      </w:r>
    </w:p>
    <w:p w14:paraId="7D501C0A" w14:textId="1A832691" w:rsidR="007A3507" w:rsidRDefault="009E4982" w:rsidP="007A3507">
      <w:pPr>
        <w:pStyle w:val="ListParagraph"/>
        <w:numPr>
          <w:ilvl w:val="0"/>
          <w:numId w:val="40"/>
        </w:numPr>
        <w:rPr>
          <w:rFonts w:ascii="Verdana" w:hAnsi="Verdana"/>
        </w:rPr>
      </w:pPr>
      <w:r w:rsidRPr="007A3507">
        <w:rPr>
          <w:rFonts w:ascii="Verdana" w:hAnsi="Verdana"/>
        </w:rPr>
        <w:t xml:space="preserve">robust cleaning regimes </w:t>
      </w:r>
      <w:r w:rsidR="00D1743C">
        <w:rPr>
          <w:rFonts w:ascii="Verdana" w:hAnsi="Verdana"/>
        </w:rPr>
        <w:t xml:space="preserve">of stations, </w:t>
      </w:r>
      <w:proofErr w:type="gramStart"/>
      <w:r w:rsidR="00D1743C">
        <w:rPr>
          <w:rFonts w:ascii="Verdana" w:hAnsi="Verdana"/>
        </w:rPr>
        <w:t>sites</w:t>
      </w:r>
      <w:proofErr w:type="gramEnd"/>
      <w:r w:rsidR="00D1743C">
        <w:rPr>
          <w:rFonts w:ascii="Verdana" w:hAnsi="Verdana"/>
        </w:rPr>
        <w:t xml:space="preserve"> and vehicles</w:t>
      </w:r>
    </w:p>
    <w:p w14:paraId="79607EC5" w14:textId="77777777" w:rsidR="00DB4C8A" w:rsidRDefault="009E4982" w:rsidP="007A3507">
      <w:pPr>
        <w:pStyle w:val="ListParagraph"/>
        <w:numPr>
          <w:ilvl w:val="0"/>
          <w:numId w:val="40"/>
        </w:numPr>
        <w:rPr>
          <w:rFonts w:ascii="Verdana" w:hAnsi="Verdana"/>
        </w:rPr>
      </w:pPr>
      <w:r w:rsidRPr="007A3507">
        <w:rPr>
          <w:rFonts w:ascii="Verdana" w:hAnsi="Verdana"/>
        </w:rPr>
        <w:t>personal</w:t>
      </w:r>
      <w:r w:rsidR="007A3507" w:rsidRPr="007A3507">
        <w:rPr>
          <w:rFonts w:ascii="Verdana" w:hAnsi="Verdana"/>
        </w:rPr>
        <w:t xml:space="preserve"> hygiene</w:t>
      </w:r>
      <w:r w:rsidR="007A3507">
        <w:rPr>
          <w:rFonts w:ascii="Verdana" w:hAnsi="Verdana"/>
        </w:rPr>
        <w:t xml:space="preserve"> – hand washing and the use of hand sanitiser on entry and exit of </w:t>
      </w:r>
      <w:r w:rsidR="00DB4C8A">
        <w:rPr>
          <w:rFonts w:ascii="Verdana" w:hAnsi="Verdana"/>
        </w:rPr>
        <w:t>premises</w:t>
      </w:r>
    </w:p>
    <w:p w14:paraId="3683AA51" w14:textId="77777777" w:rsidR="00DB4C8A" w:rsidRDefault="00DB4C8A" w:rsidP="007A3507">
      <w:pPr>
        <w:pStyle w:val="ListParagraph"/>
        <w:numPr>
          <w:ilvl w:val="0"/>
          <w:numId w:val="40"/>
        </w:numPr>
        <w:rPr>
          <w:rFonts w:ascii="Verdana" w:hAnsi="Verdana"/>
        </w:rPr>
      </w:pPr>
      <w:r>
        <w:rPr>
          <w:rFonts w:ascii="Verdana" w:hAnsi="Verdana"/>
        </w:rPr>
        <w:t>reduced maximum occupancy of rooms across the estate</w:t>
      </w:r>
    </w:p>
    <w:p w14:paraId="6D7B749D" w14:textId="77777777" w:rsidR="00F921B7" w:rsidRDefault="00DB4C8A" w:rsidP="007A3507">
      <w:pPr>
        <w:pStyle w:val="ListParagraph"/>
        <w:numPr>
          <w:ilvl w:val="0"/>
          <w:numId w:val="40"/>
        </w:numPr>
        <w:rPr>
          <w:rFonts w:ascii="Verdana" w:hAnsi="Verdana"/>
        </w:rPr>
      </w:pPr>
      <w:r>
        <w:rPr>
          <w:rFonts w:ascii="Verdana" w:hAnsi="Verdana"/>
        </w:rPr>
        <w:t xml:space="preserve">50% occupancy of vehicles </w:t>
      </w:r>
      <w:proofErr w:type="gramStart"/>
      <w:r>
        <w:rPr>
          <w:rFonts w:ascii="Verdana" w:hAnsi="Verdana"/>
        </w:rPr>
        <w:t>with the exception of</w:t>
      </w:r>
      <w:proofErr w:type="gramEnd"/>
      <w:r>
        <w:rPr>
          <w:rFonts w:ascii="Verdana" w:hAnsi="Verdana"/>
        </w:rPr>
        <w:t xml:space="preserve"> </w:t>
      </w:r>
      <w:r w:rsidR="00F921B7">
        <w:rPr>
          <w:rFonts w:ascii="Verdana" w:hAnsi="Verdana"/>
        </w:rPr>
        <w:t>fire appliances</w:t>
      </w:r>
    </w:p>
    <w:p w14:paraId="035ACFBB" w14:textId="77777777" w:rsidR="00D1743C" w:rsidRDefault="00F921B7" w:rsidP="007A3507">
      <w:pPr>
        <w:pStyle w:val="ListParagraph"/>
        <w:numPr>
          <w:ilvl w:val="0"/>
          <w:numId w:val="40"/>
        </w:numPr>
        <w:rPr>
          <w:rFonts w:ascii="Verdana" w:hAnsi="Verdana"/>
        </w:rPr>
      </w:pPr>
      <w:r>
        <w:rPr>
          <w:rFonts w:ascii="Verdana" w:hAnsi="Verdana"/>
        </w:rPr>
        <w:t xml:space="preserve">Face masks to be worn </w:t>
      </w:r>
      <w:r w:rsidR="00D1743C">
        <w:rPr>
          <w:rFonts w:ascii="Verdana" w:hAnsi="Verdana"/>
        </w:rPr>
        <w:t>in vehicles</w:t>
      </w:r>
    </w:p>
    <w:p w14:paraId="21EC6305" w14:textId="77777777" w:rsidR="00D1743C" w:rsidRDefault="00D1743C" w:rsidP="007A3507">
      <w:pPr>
        <w:pStyle w:val="ListParagraph"/>
        <w:numPr>
          <w:ilvl w:val="0"/>
          <w:numId w:val="40"/>
        </w:numPr>
        <w:rPr>
          <w:rFonts w:ascii="Verdana" w:hAnsi="Verdana"/>
        </w:rPr>
      </w:pPr>
      <w:r>
        <w:rPr>
          <w:rFonts w:ascii="Verdana" w:hAnsi="Verdana"/>
        </w:rPr>
        <w:t>Face masks to be worn during training activities and incidents</w:t>
      </w:r>
    </w:p>
    <w:p w14:paraId="1C5D7C6D" w14:textId="32D06848" w:rsidR="001D433D" w:rsidRDefault="00020247" w:rsidP="00250F6C">
      <w:pPr>
        <w:pStyle w:val="ListParagraph"/>
        <w:numPr>
          <w:ilvl w:val="0"/>
          <w:numId w:val="40"/>
        </w:numPr>
        <w:rPr>
          <w:rFonts w:ascii="Verdana" w:hAnsi="Verdana"/>
        </w:rPr>
      </w:pPr>
      <w:r w:rsidRPr="001D433D">
        <w:rPr>
          <w:rFonts w:ascii="Verdana" w:hAnsi="Verdana"/>
        </w:rPr>
        <w:t xml:space="preserve">Appropriate level of </w:t>
      </w:r>
      <w:r w:rsidR="00D1743C" w:rsidRPr="001D433D">
        <w:rPr>
          <w:rFonts w:ascii="Verdana" w:hAnsi="Verdana"/>
        </w:rPr>
        <w:t>PPE to be worn when</w:t>
      </w:r>
      <w:r w:rsidRPr="001D433D">
        <w:rPr>
          <w:rFonts w:ascii="Verdana" w:hAnsi="Verdana"/>
        </w:rPr>
        <w:t xml:space="preserve"> working in the community </w:t>
      </w:r>
      <w:r w:rsidR="00400807" w:rsidRPr="001D433D">
        <w:rPr>
          <w:rFonts w:ascii="Verdana" w:hAnsi="Verdana"/>
        </w:rPr>
        <w:t xml:space="preserve">and especially when working with people who </w:t>
      </w:r>
      <w:r w:rsidR="001D433D" w:rsidRPr="001D433D">
        <w:rPr>
          <w:rFonts w:ascii="Verdana" w:hAnsi="Verdana"/>
        </w:rPr>
        <w:t>have COVID-19</w:t>
      </w:r>
      <w:r w:rsidR="00D1743C" w:rsidRPr="001D433D">
        <w:rPr>
          <w:rFonts w:ascii="Verdana" w:hAnsi="Verdana"/>
        </w:rPr>
        <w:t xml:space="preserve"> </w:t>
      </w:r>
    </w:p>
    <w:p w14:paraId="0C897201" w14:textId="3DAA1172" w:rsidR="00E51D6B" w:rsidRPr="00522016" w:rsidRDefault="00B232E3" w:rsidP="001D433D">
      <w:pPr>
        <w:pStyle w:val="ListParagraph"/>
        <w:numPr>
          <w:ilvl w:val="0"/>
          <w:numId w:val="40"/>
        </w:numPr>
        <w:rPr>
          <w:rFonts w:ascii="Verdana" w:hAnsi="Verdana"/>
        </w:rPr>
      </w:pPr>
      <w:r>
        <w:rPr>
          <w:rFonts w:ascii="Verdana" w:hAnsi="Verdana"/>
        </w:rPr>
        <w:t>“</w:t>
      </w:r>
      <w:r w:rsidR="001D433D">
        <w:rPr>
          <w:rFonts w:ascii="Verdana" w:hAnsi="Verdana"/>
        </w:rPr>
        <w:t>Working Safely with COVID-19</w:t>
      </w:r>
      <w:r>
        <w:rPr>
          <w:rFonts w:ascii="Verdana" w:hAnsi="Verdana"/>
        </w:rPr>
        <w:t>”</w:t>
      </w:r>
      <w:r w:rsidR="001D433D">
        <w:rPr>
          <w:rFonts w:ascii="Verdana" w:hAnsi="Verdana"/>
        </w:rPr>
        <w:t xml:space="preserve"> risk assessments </w:t>
      </w:r>
    </w:p>
    <w:p w14:paraId="1292DC38" w14:textId="5F604D7C" w:rsidR="009E13EF" w:rsidRDefault="00472782" w:rsidP="001D433D">
      <w:pPr>
        <w:rPr>
          <w:rFonts w:ascii="Verdana" w:hAnsi="Verdana"/>
        </w:rPr>
      </w:pPr>
      <w:r w:rsidRPr="001D433D">
        <w:rPr>
          <w:rFonts w:ascii="Verdana" w:hAnsi="Verdana"/>
        </w:rPr>
        <w:t xml:space="preserve">The </w:t>
      </w:r>
      <w:r w:rsidR="005620C2" w:rsidRPr="001D433D">
        <w:rPr>
          <w:rFonts w:ascii="Verdana" w:hAnsi="Verdana"/>
        </w:rPr>
        <w:t xml:space="preserve">Health and Safety </w:t>
      </w:r>
      <w:r w:rsidR="00A704B7">
        <w:rPr>
          <w:rFonts w:ascii="Verdana" w:hAnsi="Verdana"/>
        </w:rPr>
        <w:t xml:space="preserve">team </w:t>
      </w:r>
      <w:r w:rsidR="00BB307F">
        <w:rPr>
          <w:rFonts w:ascii="Verdana" w:hAnsi="Verdana"/>
        </w:rPr>
        <w:t xml:space="preserve">have conducted </w:t>
      </w:r>
      <w:r w:rsidR="00631246">
        <w:rPr>
          <w:rFonts w:ascii="Verdana" w:hAnsi="Verdana"/>
        </w:rPr>
        <w:t xml:space="preserve">several </w:t>
      </w:r>
      <w:r w:rsidR="00BB307F">
        <w:rPr>
          <w:rFonts w:ascii="Verdana" w:hAnsi="Verdana"/>
        </w:rPr>
        <w:t xml:space="preserve">reviews </w:t>
      </w:r>
      <w:r w:rsidRPr="001D433D">
        <w:rPr>
          <w:rFonts w:ascii="Verdana" w:hAnsi="Verdana"/>
        </w:rPr>
        <w:t xml:space="preserve">of existing </w:t>
      </w:r>
      <w:r w:rsidR="00BB307F">
        <w:rPr>
          <w:rFonts w:ascii="Verdana" w:hAnsi="Verdana"/>
        </w:rPr>
        <w:t xml:space="preserve">COVID-19 </w:t>
      </w:r>
      <w:r w:rsidRPr="001D433D">
        <w:rPr>
          <w:rFonts w:ascii="Verdana" w:hAnsi="Verdana"/>
        </w:rPr>
        <w:t>r</w:t>
      </w:r>
      <w:r w:rsidR="00754F30" w:rsidRPr="001D433D">
        <w:rPr>
          <w:rFonts w:ascii="Verdana" w:hAnsi="Verdana"/>
        </w:rPr>
        <w:t xml:space="preserve">isk </w:t>
      </w:r>
      <w:r w:rsidR="00166077" w:rsidRPr="001D433D">
        <w:rPr>
          <w:rFonts w:ascii="Verdana" w:hAnsi="Verdana"/>
        </w:rPr>
        <w:t>a</w:t>
      </w:r>
      <w:r w:rsidR="00754F30" w:rsidRPr="001D433D">
        <w:rPr>
          <w:rFonts w:ascii="Verdana" w:hAnsi="Verdana"/>
        </w:rPr>
        <w:t>ssessments</w:t>
      </w:r>
      <w:r w:rsidR="002F7A0E" w:rsidRPr="001D433D">
        <w:rPr>
          <w:rFonts w:ascii="Verdana" w:hAnsi="Verdana"/>
        </w:rPr>
        <w:t xml:space="preserve"> </w:t>
      </w:r>
      <w:r w:rsidRPr="001D433D">
        <w:rPr>
          <w:rFonts w:ascii="Verdana" w:hAnsi="Verdana"/>
        </w:rPr>
        <w:t>to ensure the</w:t>
      </w:r>
      <w:r w:rsidR="00BB307F">
        <w:rPr>
          <w:rFonts w:ascii="Verdana" w:hAnsi="Verdana"/>
        </w:rPr>
        <w:t>y remain suitable and sufficient</w:t>
      </w:r>
      <w:r w:rsidR="00BD5934">
        <w:rPr>
          <w:rFonts w:ascii="Verdana" w:hAnsi="Verdana"/>
        </w:rPr>
        <w:t>,</w:t>
      </w:r>
      <w:r w:rsidR="005F7B51">
        <w:rPr>
          <w:rFonts w:ascii="Verdana" w:hAnsi="Verdana"/>
        </w:rPr>
        <w:t xml:space="preserve"> reflect the Government’s </w:t>
      </w:r>
      <w:r w:rsidR="00BD5934">
        <w:rPr>
          <w:rFonts w:ascii="Verdana" w:hAnsi="Verdana"/>
        </w:rPr>
        <w:t>changes to restrictions imposed and the requirements of the Service.</w:t>
      </w:r>
      <w:r w:rsidRPr="001D433D">
        <w:rPr>
          <w:rFonts w:ascii="Verdana" w:hAnsi="Verdana"/>
        </w:rPr>
        <w:t xml:space="preserve"> </w:t>
      </w:r>
    </w:p>
    <w:p w14:paraId="1DC7BF39" w14:textId="2D613900" w:rsidR="00315DCC" w:rsidRDefault="00631246" w:rsidP="001D433D">
      <w:pPr>
        <w:rPr>
          <w:rFonts w:ascii="Verdana" w:hAnsi="Verdana"/>
        </w:rPr>
      </w:pPr>
      <w:r>
        <w:rPr>
          <w:rFonts w:ascii="Verdana" w:hAnsi="Verdana"/>
        </w:rPr>
        <w:t xml:space="preserve">Regular </w:t>
      </w:r>
      <w:r w:rsidR="00957571">
        <w:rPr>
          <w:rFonts w:ascii="Verdana" w:hAnsi="Verdana"/>
        </w:rPr>
        <w:t xml:space="preserve">communications to staff have been issued in the Pandemic section of the intranet and via </w:t>
      </w:r>
      <w:r w:rsidR="005B3015">
        <w:rPr>
          <w:rFonts w:ascii="Verdana" w:hAnsi="Verdana"/>
        </w:rPr>
        <w:t>poster campaigns displayed on stations and sites acting as a reminder to staff to adhere to the COVID Secure measures in place.</w:t>
      </w:r>
    </w:p>
    <w:p w14:paraId="05D475F7" w14:textId="332AC53D" w:rsidR="00952D65" w:rsidRDefault="00D936E8" w:rsidP="001D433D">
      <w:pPr>
        <w:rPr>
          <w:rFonts w:ascii="Verdana" w:hAnsi="Verdana"/>
        </w:rPr>
      </w:pPr>
      <w:r>
        <w:rPr>
          <w:rFonts w:ascii="Verdana" w:hAnsi="Verdana"/>
        </w:rPr>
        <w:t xml:space="preserve">A </w:t>
      </w:r>
      <w:hyperlink r:id="rId10" w:history="1">
        <w:r w:rsidRPr="00AD62CD">
          <w:rPr>
            <w:rStyle w:val="Hyperlink"/>
            <w:rFonts w:ascii="Verdana" w:hAnsi="Verdana"/>
          </w:rPr>
          <w:t>joint statement</w:t>
        </w:r>
      </w:hyperlink>
      <w:r>
        <w:rPr>
          <w:rFonts w:ascii="Verdana" w:hAnsi="Verdana"/>
        </w:rPr>
        <w:t xml:space="preserve"> </w:t>
      </w:r>
      <w:r w:rsidR="00FC310E">
        <w:rPr>
          <w:rFonts w:ascii="Verdana" w:hAnsi="Verdana"/>
        </w:rPr>
        <w:t xml:space="preserve">signed by </w:t>
      </w:r>
      <w:r w:rsidR="009E5B30">
        <w:rPr>
          <w:rFonts w:ascii="Verdana" w:hAnsi="Verdana"/>
        </w:rPr>
        <w:t xml:space="preserve">all </w:t>
      </w:r>
      <w:r w:rsidR="004159A3">
        <w:rPr>
          <w:rFonts w:ascii="Verdana" w:hAnsi="Verdana"/>
        </w:rPr>
        <w:t>R</w:t>
      </w:r>
      <w:r w:rsidR="00FC310E">
        <w:rPr>
          <w:rFonts w:ascii="Verdana" w:hAnsi="Verdana"/>
        </w:rPr>
        <w:t xml:space="preserve">epresentative </w:t>
      </w:r>
      <w:r w:rsidR="004159A3">
        <w:rPr>
          <w:rFonts w:ascii="Verdana" w:hAnsi="Verdana"/>
        </w:rPr>
        <w:t>B</w:t>
      </w:r>
      <w:r w:rsidR="00FC310E">
        <w:rPr>
          <w:rFonts w:ascii="Verdana" w:hAnsi="Verdana"/>
        </w:rPr>
        <w:t>odies</w:t>
      </w:r>
      <w:r w:rsidR="00AC42F4">
        <w:rPr>
          <w:rFonts w:ascii="Verdana" w:hAnsi="Verdana"/>
        </w:rPr>
        <w:t xml:space="preserve"> </w:t>
      </w:r>
      <w:r w:rsidR="003A7D14">
        <w:rPr>
          <w:rFonts w:ascii="Verdana" w:hAnsi="Verdana"/>
        </w:rPr>
        <w:t xml:space="preserve">was issued in October 2020 which </w:t>
      </w:r>
      <w:r w:rsidR="00940998">
        <w:rPr>
          <w:rFonts w:ascii="Verdana" w:hAnsi="Verdana"/>
        </w:rPr>
        <w:t xml:space="preserve">set out the five steps to ensuring stations and sites remain COVID Secure. This is an excellent example of working together for the greater good of </w:t>
      </w:r>
      <w:r w:rsidR="00C379B5">
        <w:rPr>
          <w:rFonts w:ascii="Verdana" w:hAnsi="Verdana"/>
        </w:rPr>
        <w:t xml:space="preserve">all </w:t>
      </w:r>
      <w:r w:rsidR="00AC42F4">
        <w:rPr>
          <w:rFonts w:ascii="Verdana" w:hAnsi="Verdana"/>
        </w:rPr>
        <w:t>employees and the communities we serve.</w:t>
      </w:r>
    </w:p>
    <w:p w14:paraId="35655181" w14:textId="37444D6B" w:rsidR="00A157CD" w:rsidRDefault="0033158B" w:rsidP="00A157CD">
      <w:pPr>
        <w:rPr>
          <w:rFonts w:ascii="Verdana" w:hAnsi="Verdana"/>
        </w:rPr>
      </w:pPr>
      <w:r>
        <w:rPr>
          <w:rFonts w:ascii="Verdana" w:hAnsi="Verdana"/>
        </w:rPr>
        <w:t>Early in the pandemic t</w:t>
      </w:r>
      <w:r w:rsidR="00A157CD">
        <w:rPr>
          <w:rFonts w:ascii="Verdana" w:hAnsi="Verdana"/>
        </w:rPr>
        <w:t xml:space="preserve">he Health and Safety Executive (HSE) went on record stating that, should they receive a complaint from an employee concerned about </w:t>
      </w:r>
      <w:r w:rsidR="00E14B35">
        <w:rPr>
          <w:rFonts w:ascii="Verdana" w:hAnsi="Verdana"/>
        </w:rPr>
        <w:t>COVID-19 in their workplace, t</w:t>
      </w:r>
      <w:r w:rsidR="00A157CD">
        <w:rPr>
          <w:rFonts w:ascii="Verdana" w:hAnsi="Verdana"/>
        </w:rPr>
        <w:t>hey w</w:t>
      </w:r>
      <w:r>
        <w:rPr>
          <w:rFonts w:ascii="Verdana" w:hAnsi="Verdana"/>
        </w:rPr>
        <w:t>ould</w:t>
      </w:r>
      <w:r w:rsidR="00A157CD">
        <w:rPr>
          <w:rFonts w:ascii="Verdana" w:hAnsi="Verdana"/>
        </w:rPr>
        <w:t xml:space="preserve"> carry out an investigation. </w:t>
      </w:r>
      <w:r w:rsidR="0017375B">
        <w:rPr>
          <w:rFonts w:ascii="Verdana" w:hAnsi="Verdana"/>
        </w:rPr>
        <w:t xml:space="preserve">Their </w:t>
      </w:r>
      <w:proofErr w:type="gramStart"/>
      <w:r w:rsidR="0017375B">
        <w:rPr>
          <w:rFonts w:ascii="Verdana" w:hAnsi="Verdana"/>
        </w:rPr>
        <w:t>main focus</w:t>
      </w:r>
      <w:proofErr w:type="gramEnd"/>
      <w:r w:rsidR="0017375B">
        <w:rPr>
          <w:rFonts w:ascii="Verdana" w:hAnsi="Verdana"/>
        </w:rPr>
        <w:t xml:space="preserve"> would be </w:t>
      </w:r>
      <w:r w:rsidR="00A157CD">
        <w:rPr>
          <w:rFonts w:ascii="Verdana" w:hAnsi="Verdana"/>
        </w:rPr>
        <w:t xml:space="preserve">the monitoring of ongoing compliance with the measures. To </w:t>
      </w:r>
      <w:r w:rsidR="00A157CD">
        <w:rPr>
          <w:rFonts w:ascii="Verdana" w:hAnsi="Verdana"/>
        </w:rPr>
        <w:lastRenderedPageBreak/>
        <w:t>ensure this</w:t>
      </w:r>
      <w:r w:rsidR="00D465C5">
        <w:rPr>
          <w:rFonts w:ascii="Verdana" w:hAnsi="Verdana"/>
        </w:rPr>
        <w:t xml:space="preserve"> was</w:t>
      </w:r>
      <w:r w:rsidR="00A157CD">
        <w:rPr>
          <w:rFonts w:ascii="Verdana" w:hAnsi="Verdana"/>
        </w:rPr>
        <w:t xml:space="preserve"> in place, the Health and Safety team developed a monthly inspection form, an extension of the COVID-19 audit form, which is completed by the Station Commander/site manager and returned to the Health and Safety department. Any breaches and findings </w:t>
      </w:r>
      <w:r>
        <w:rPr>
          <w:rFonts w:ascii="Verdana" w:hAnsi="Verdana"/>
        </w:rPr>
        <w:t>are</w:t>
      </w:r>
      <w:r w:rsidR="00A157CD">
        <w:rPr>
          <w:rFonts w:ascii="Verdana" w:hAnsi="Verdana"/>
        </w:rPr>
        <w:t xml:space="preserve"> highlighted to the Station Commander/site manager for rectification. This provides evidence and an audit trail should the HSE wish to come into the Service. It also provides assurance to the Authority that the Service is doing all it can to ensure compliance.</w:t>
      </w:r>
    </w:p>
    <w:p w14:paraId="7E8B3300" w14:textId="0223A94D" w:rsidR="00AA788C" w:rsidRDefault="00471528" w:rsidP="00A157CD">
      <w:pPr>
        <w:rPr>
          <w:rFonts w:ascii="Verdana" w:hAnsi="Verdana"/>
        </w:rPr>
      </w:pPr>
      <w:r>
        <w:rPr>
          <w:rFonts w:ascii="Verdana" w:hAnsi="Verdana"/>
        </w:rPr>
        <w:t>To date,</w:t>
      </w:r>
      <w:r w:rsidR="00AA788C">
        <w:rPr>
          <w:rFonts w:ascii="Verdana" w:hAnsi="Verdana"/>
        </w:rPr>
        <w:t xml:space="preserve"> the HSE has conducted COVID-19 </w:t>
      </w:r>
      <w:r w:rsidR="00CB7279">
        <w:rPr>
          <w:rFonts w:ascii="Verdana" w:hAnsi="Verdana"/>
        </w:rPr>
        <w:t xml:space="preserve">spot audits at four stations and sites with </w:t>
      </w:r>
      <w:r>
        <w:rPr>
          <w:rFonts w:ascii="Verdana" w:hAnsi="Verdana"/>
        </w:rPr>
        <w:t xml:space="preserve">excellent outcomes at each. There has been no requirement for </w:t>
      </w:r>
      <w:r w:rsidR="00845453">
        <w:rPr>
          <w:rFonts w:ascii="Verdana" w:hAnsi="Verdana"/>
        </w:rPr>
        <w:t xml:space="preserve">any further action and </w:t>
      </w:r>
      <w:r w:rsidR="007F2E2E">
        <w:rPr>
          <w:rFonts w:ascii="Verdana" w:hAnsi="Verdana"/>
        </w:rPr>
        <w:t>comments received from the inspectors have been favourable. This is d</w:t>
      </w:r>
      <w:r w:rsidR="00A94BE4">
        <w:rPr>
          <w:rFonts w:ascii="Verdana" w:hAnsi="Verdana"/>
        </w:rPr>
        <w:t xml:space="preserve">ue </w:t>
      </w:r>
      <w:r w:rsidR="007F2E2E">
        <w:rPr>
          <w:rFonts w:ascii="Verdana" w:hAnsi="Verdana"/>
        </w:rPr>
        <w:t>to the hard work of all employees in ensuring adherence to the COVID Secure measures.</w:t>
      </w:r>
    </w:p>
    <w:p w14:paraId="2D229E41" w14:textId="4F6C1EF1" w:rsidR="00B236AB" w:rsidRDefault="006F4A48" w:rsidP="00A157CD">
      <w:pPr>
        <w:rPr>
          <w:rFonts w:ascii="Verdana" w:hAnsi="Verdana"/>
        </w:rPr>
      </w:pPr>
      <w:r>
        <w:rPr>
          <w:rFonts w:ascii="Verdana" w:hAnsi="Verdana"/>
        </w:rPr>
        <w:t xml:space="preserve">In certain situations, </w:t>
      </w:r>
      <w:r w:rsidR="00B236AB">
        <w:rPr>
          <w:rFonts w:ascii="Verdana" w:hAnsi="Verdana"/>
        </w:rPr>
        <w:t xml:space="preserve">COVID-19 has been </w:t>
      </w:r>
      <w:r w:rsidR="00C80FBF">
        <w:rPr>
          <w:rFonts w:ascii="Verdana" w:hAnsi="Verdana"/>
        </w:rPr>
        <w:t xml:space="preserve">designated as a disease that is reportable to the HSE under the </w:t>
      </w:r>
      <w:r w:rsidR="000F0626">
        <w:rPr>
          <w:rFonts w:ascii="Verdana" w:hAnsi="Verdana"/>
        </w:rPr>
        <w:t>Reporting of Injuries, Diseases and Dangerous Occurrences Regulations (RIDDOR)</w:t>
      </w:r>
      <w:r>
        <w:rPr>
          <w:rFonts w:ascii="Verdana" w:hAnsi="Verdana"/>
        </w:rPr>
        <w:t xml:space="preserve">. These situations relate to </w:t>
      </w:r>
      <w:r w:rsidR="00CD1816">
        <w:rPr>
          <w:rFonts w:ascii="Verdana" w:hAnsi="Verdana"/>
        </w:rPr>
        <w:t>not wearing</w:t>
      </w:r>
      <w:r w:rsidR="00F9380B">
        <w:rPr>
          <w:rFonts w:ascii="Verdana" w:hAnsi="Verdana"/>
        </w:rPr>
        <w:t xml:space="preserve"> </w:t>
      </w:r>
      <w:r w:rsidR="00507E5B">
        <w:rPr>
          <w:rFonts w:ascii="Verdana" w:hAnsi="Verdana"/>
        </w:rPr>
        <w:t xml:space="preserve">the appropriate PPE, a failure of the PPE or a dangerous occurrence such as </w:t>
      </w:r>
      <w:r w:rsidR="00CD1816">
        <w:rPr>
          <w:rFonts w:ascii="Verdana" w:hAnsi="Verdana"/>
        </w:rPr>
        <w:t>an unintended incident at work that has led to someone’s possible or actual exposure to COVID-19.</w:t>
      </w:r>
      <w:r w:rsidR="00F2613F">
        <w:rPr>
          <w:rFonts w:ascii="Verdana" w:hAnsi="Verdana"/>
        </w:rPr>
        <w:t xml:space="preserve"> To manage these eventualities the Service provided guidance to all staff as to the levels of PPE that should be worn </w:t>
      </w:r>
      <w:r w:rsidR="004C22C6">
        <w:rPr>
          <w:rFonts w:ascii="Verdana" w:hAnsi="Verdana"/>
        </w:rPr>
        <w:t>according to the level of risk present</w:t>
      </w:r>
      <w:r w:rsidR="001E33DE">
        <w:rPr>
          <w:rFonts w:ascii="Verdana" w:hAnsi="Verdana"/>
        </w:rPr>
        <w:t xml:space="preserve">. </w:t>
      </w:r>
    </w:p>
    <w:p w14:paraId="01EBEA0F" w14:textId="6A50C379" w:rsidR="00D7115A" w:rsidRDefault="00D7115A" w:rsidP="00A157CD">
      <w:pPr>
        <w:rPr>
          <w:rFonts w:ascii="Verdana" w:hAnsi="Verdana"/>
        </w:rPr>
      </w:pPr>
      <w:r>
        <w:rPr>
          <w:rFonts w:ascii="Verdana" w:hAnsi="Verdana"/>
        </w:rPr>
        <w:t xml:space="preserve">When an employee is confirmed as having COVID-19 </w:t>
      </w:r>
      <w:r w:rsidR="00783F16">
        <w:rPr>
          <w:rFonts w:ascii="Verdana" w:hAnsi="Verdana"/>
        </w:rPr>
        <w:t xml:space="preserve">they must self-isolate in accordance with Government </w:t>
      </w:r>
      <w:r w:rsidR="00491BF6">
        <w:rPr>
          <w:rFonts w:ascii="Verdana" w:hAnsi="Verdana"/>
        </w:rPr>
        <w:t xml:space="preserve">requirements. Before they return to work the Resource Management Team </w:t>
      </w:r>
      <w:r w:rsidR="00A640E8">
        <w:rPr>
          <w:rFonts w:ascii="Verdana" w:hAnsi="Verdana"/>
        </w:rPr>
        <w:t xml:space="preserve">(RMT) </w:t>
      </w:r>
      <w:r w:rsidR="00491BF6">
        <w:rPr>
          <w:rFonts w:ascii="Verdana" w:hAnsi="Verdana"/>
        </w:rPr>
        <w:t xml:space="preserve">will </w:t>
      </w:r>
      <w:r w:rsidR="00672005">
        <w:rPr>
          <w:rFonts w:ascii="Verdana" w:hAnsi="Verdana"/>
        </w:rPr>
        <w:t xml:space="preserve">contact them and work through a set of questions created to determine if the </w:t>
      </w:r>
      <w:r w:rsidR="004437A8">
        <w:rPr>
          <w:rFonts w:ascii="Verdana" w:hAnsi="Verdana"/>
        </w:rPr>
        <w:t xml:space="preserve">virus was contracted whilst at work. If this is the case, the health and safety team will </w:t>
      </w:r>
      <w:r w:rsidR="00441A35">
        <w:rPr>
          <w:rFonts w:ascii="Verdana" w:hAnsi="Verdana"/>
        </w:rPr>
        <w:t xml:space="preserve">report it to the HSE under the RIDDOR Regulations. </w:t>
      </w:r>
      <w:r w:rsidR="003E3542">
        <w:rPr>
          <w:rFonts w:ascii="Verdana" w:hAnsi="Verdana"/>
        </w:rPr>
        <w:t>Fortunately,</w:t>
      </w:r>
      <w:r w:rsidR="001F3C93">
        <w:rPr>
          <w:rFonts w:ascii="Verdana" w:hAnsi="Verdana"/>
        </w:rPr>
        <w:t xml:space="preserve"> there has only been one instance to date</w:t>
      </w:r>
      <w:r w:rsidR="00B5031C">
        <w:rPr>
          <w:rFonts w:ascii="Verdana" w:hAnsi="Verdana"/>
        </w:rPr>
        <w:t>, further testament to the diligence of employees</w:t>
      </w:r>
      <w:r w:rsidR="00E91A19">
        <w:rPr>
          <w:rFonts w:ascii="Verdana" w:hAnsi="Verdana"/>
        </w:rPr>
        <w:t xml:space="preserve"> when working face to face with each other and the communities.</w:t>
      </w:r>
    </w:p>
    <w:p w14:paraId="6128DEC2" w14:textId="2BAE312E" w:rsidR="00333D3A" w:rsidRDefault="006A4AB7" w:rsidP="00A157CD">
      <w:pPr>
        <w:rPr>
          <w:rFonts w:ascii="Verdana" w:hAnsi="Verdana"/>
        </w:rPr>
      </w:pPr>
      <w:r>
        <w:rPr>
          <w:rFonts w:ascii="Verdana" w:hAnsi="Verdana"/>
        </w:rPr>
        <w:t>The HSE has been instrumental in providing guidance to employers on mitigating the risk of transmission of the virus</w:t>
      </w:r>
      <w:r w:rsidR="00F402A9">
        <w:rPr>
          <w:rFonts w:ascii="Verdana" w:hAnsi="Verdana"/>
        </w:rPr>
        <w:t xml:space="preserve">. </w:t>
      </w:r>
      <w:r w:rsidR="006F6AB1">
        <w:rPr>
          <w:rFonts w:ascii="Verdana" w:hAnsi="Verdana"/>
        </w:rPr>
        <w:t>An example of such guidance related to a</w:t>
      </w:r>
      <w:r w:rsidR="00F402A9">
        <w:rPr>
          <w:rFonts w:ascii="Verdana" w:hAnsi="Verdana"/>
        </w:rPr>
        <w:t>dequate ventilation</w:t>
      </w:r>
      <w:r w:rsidR="002E76CC">
        <w:rPr>
          <w:rFonts w:ascii="Verdana" w:hAnsi="Verdana"/>
        </w:rPr>
        <w:t xml:space="preserve"> </w:t>
      </w:r>
      <w:r w:rsidR="000B0DE9">
        <w:rPr>
          <w:rFonts w:ascii="Verdana" w:hAnsi="Verdana"/>
        </w:rPr>
        <w:t xml:space="preserve">both natural and mechanical. </w:t>
      </w:r>
      <w:r w:rsidR="002B5569">
        <w:rPr>
          <w:rFonts w:ascii="Verdana" w:hAnsi="Verdana"/>
        </w:rPr>
        <w:t>The Service has implemented the requirem</w:t>
      </w:r>
      <w:r w:rsidR="00B4794F">
        <w:rPr>
          <w:rFonts w:ascii="Verdana" w:hAnsi="Verdana"/>
        </w:rPr>
        <w:t>ent that windows on all stations and sites are to be opened when occupied to ensure circulation of fresh air</w:t>
      </w:r>
      <w:r w:rsidR="001D35E6">
        <w:rPr>
          <w:rFonts w:ascii="Verdana" w:hAnsi="Verdana"/>
        </w:rPr>
        <w:t xml:space="preserve">. For those stations and sites that have air handling systems the Property department have maximised the input of fresh air and </w:t>
      </w:r>
      <w:r w:rsidR="00516979">
        <w:rPr>
          <w:rFonts w:ascii="Verdana" w:hAnsi="Verdana"/>
        </w:rPr>
        <w:t xml:space="preserve">increased the </w:t>
      </w:r>
      <w:r w:rsidR="004B640A">
        <w:rPr>
          <w:rFonts w:ascii="Verdana" w:hAnsi="Verdana"/>
        </w:rPr>
        <w:t>frequency of filter changes</w:t>
      </w:r>
      <w:r w:rsidR="00877702">
        <w:rPr>
          <w:rFonts w:ascii="Verdana" w:hAnsi="Verdana"/>
        </w:rPr>
        <w:t>.</w:t>
      </w:r>
    </w:p>
    <w:p w14:paraId="633E0909" w14:textId="525AC3E2" w:rsidR="004725A4" w:rsidRDefault="00EF588D" w:rsidP="00A157CD">
      <w:pPr>
        <w:rPr>
          <w:rFonts w:ascii="Verdana" w:hAnsi="Verdana"/>
        </w:rPr>
      </w:pPr>
      <w:r>
        <w:rPr>
          <w:rFonts w:ascii="Verdana" w:hAnsi="Verdana"/>
        </w:rPr>
        <w:t xml:space="preserve">One of the biggest risks for the Service </w:t>
      </w:r>
      <w:r w:rsidR="007A1F1F">
        <w:rPr>
          <w:rFonts w:ascii="Verdana" w:hAnsi="Verdana"/>
        </w:rPr>
        <w:t>was, and</w:t>
      </w:r>
      <w:r w:rsidR="0012626F">
        <w:rPr>
          <w:rFonts w:ascii="Verdana" w:hAnsi="Verdana"/>
        </w:rPr>
        <w:t xml:space="preserve"> still is</w:t>
      </w:r>
      <w:r w:rsidR="007A1F1F">
        <w:rPr>
          <w:rFonts w:ascii="Verdana" w:hAnsi="Verdana"/>
        </w:rPr>
        <w:t>,</w:t>
      </w:r>
      <w:r w:rsidR="0012626F">
        <w:rPr>
          <w:rFonts w:ascii="Verdana" w:hAnsi="Verdana"/>
        </w:rPr>
        <w:t xml:space="preserve"> meeting members of the community who </w:t>
      </w:r>
      <w:r w:rsidR="00A625FB">
        <w:rPr>
          <w:rFonts w:ascii="Verdana" w:hAnsi="Verdana"/>
        </w:rPr>
        <w:t xml:space="preserve">have tested positive for COVID-19 or those </w:t>
      </w:r>
      <w:r w:rsidR="00891247">
        <w:rPr>
          <w:rFonts w:ascii="Verdana" w:hAnsi="Verdana"/>
        </w:rPr>
        <w:t xml:space="preserve">that do not realise they </w:t>
      </w:r>
      <w:r w:rsidR="00A625FB">
        <w:rPr>
          <w:rFonts w:ascii="Verdana" w:hAnsi="Verdana"/>
        </w:rPr>
        <w:t>have COVID</w:t>
      </w:r>
      <w:r w:rsidR="007A1F1F">
        <w:rPr>
          <w:rFonts w:ascii="Verdana" w:hAnsi="Verdana"/>
        </w:rPr>
        <w:t>-19</w:t>
      </w:r>
      <w:r w:rsidR="00A625FB">
        <w:rPr>
          <w:rFonts w:ascii="Verdana" w:hAnsi="Verdana"/>
        </w:rPr>
        <w:t xml:space="preserve"> </w:t>
      </w:r>
      <w:r w:rsidR="00891247">
        <w:rPr>
          <w:rFonts w:ascii="Verdana" w:hAnsi="Verdana"/>
        </w:rPr>
        <w:t xml:space="preserve">as they </w:t>
      </w:r>
      <w:r w:rsidR="00A625FB">
        <w:rPr>
          <w:rFonts w:ascii="Verdana" w:hAnsi="Verdana"/>
        </w:rPr>
        <w:t>are asymptomatic</w:t>
      </w:r>
      <w:r w:rsidR="00891247">
        <w:rPr>
          <w:rFonts w:ascii="Verdana" w:hAnsi="Verdana"/>
        </w:rPr>
        <w:t xml:space="preserve">. Strict protocols have been put in place </w:t>
      </w:r>
      <w:r w:rsidR="00AC54CD">
        <w:rPr>
          <w:rFonts w:ascii="Verdana" w:hAnsi="Verdana"/>
        </w:rPr>
        <w:t>in terms of managing that risk for all community facing staff. These protocols include</w:t>
      </w:r>
      <w:r w:rsidR="00B05D9B">
        <w:rPr>
          <w:rFonts w:ascii="Verdana" w:hAnsi="Verdana"/>
        </w:rPr>
        <w:t xml:space="preserve"> the following:</w:t>
      </w:r>
    </w:p>
    <w:p w14:paraId="4543352D" w14:textId="48CE6D22" w:rsidR="0017375B" w:rsidRDefault="00B05D9B" w:rsidP="00B05D9B">
      <w:pPr>
        <w:pStyle w:val="ListParagraph"/>
        <w:numPr>
          <w:ilvl w:val="0"/>
          <w:numId w:val="41"/>
        </w:numPr>
        <w:rPr>
          <w:rFonts w:ascii="Verdana" w:hAnsi="Verdana"/>
        </w:rPr>
      </w:pPr>
      <w:r>
        <w:rPr>
          <w:rFonts w:ascii="Verdana" w:hAnsi="Verdana"/>
        </w:rPr>
        <w:lastRenderedPageBreak/>
        <w:t>Minimising face to face contact wherever possible</w:t>
      </w:r>
    </w:p>
    <w:p w14:paraId="323D9D66" w14:textId="6E260715" w:rsidR="00B05D9B" w:rsidRDefault="006D00DC" w:rsidP="00B05D9B">
      <w:pPr>
        <w:pStyle w:val="ListParagraph"/>
        <w:numPr>
          <w:ilvl w:val="0"/>
          <w:numId w:val="41"/>
        </w:numPr>
        <w:rPr>
          <w:rFonts w:ascii="Verdana" w:hAnsi="Verdana"/>
        </w:rPr>
      </w:pPr>
      <w:r>
        <w:rPr>
          <w:rFonts w:ascii="Verdana" w:hAnsi="Verdana"/>
        </w:rPr>
        <w:t>Conducting business over the phone or virtually</w:t>
      </w:r>
    </w:p>
    <w:p w14:paraId="43EA9722" w14:textId="27723129" w:rsidR="006D00DC" w:rsidRDefault="006D00DC" w:rsidP="00B05D9B">
      <w:pPr>
        <w:pStyle w:val="ListParagraph"/>
        <w:numPr>
          <w:ilvl w:val="0"/>
          <w:numId w:val="41"/>
        </w:numPr>
        <w:rPr>
          <w:rFonts w:ascii="Verdana" w:hAnsi="Verdana"/>
        </w:rPr>
      </w:pPr>
      <w:r>
        <w:rPr>
          <w:rFonts w:ascii="Verdana" w:hAnsi="Verdana"/>
        </w:rPr>
        <w:t>Robust call challeng</w:t>
      </w:r>
      <w:r w:rsidR="00A73DE9">
        <w:rPr>
          <w:rFonts w:ascii="Verdana" w:hAnsi="Verdana"/>
        </w:rPr>
        <w:t>ing</w:t>
      </w:r>
      <w:r w:rsidR="00FD61E3">
        <w:rPr>
          <w:rFonts w:ascii="Verdana" w:hAnsi="Verdana"/>
        </w:rPr>
        <w:t xml:space="preserve"> if it is possible that </w:t>
      </w:r>
      <w:r w:rsidR="0054793D">
        <w:rPr>
          <w:rFonts w:ascii="Verdana" w:hAnsi="Verdana"/>
        </w:rPr>
        <w:t>employees</w:t>
      </w:r>
      <w:r w:rsidR="00FD61E3">
        <w:rPr>
          <w:rFonts w:ascii="Verdana" w:hAnsi="Verdana"/>
        </w:rPr>
        <w:t xml:space="preserve"> need to visi</w:t>
      </w:r>
      <w:r w:rsidR="001D3524">
        <w:rPr>
          <w:rFonts w:ascii="Verdana" w:hAnsi="Verdana"/>
        </w:rPr>
        <w:t>t</w:t>
      </w:r>
      <w:r w:rsidR="00FD61E3">
        <w:rPr>
          <w:rFonts w:ascii="Verdana" w:hAnsi="Verdana"/>
        </w:rPr>
        <w:t xml:space="preserve"> </w:t>
      </w:r>
      <w:r w:rsidR="0083512F">
        <w:rPr>
          <w:rFonts w:ascii="Verdana" w:hAnsi="Verdana"/>
        </w:rPr>
        <w:t>members of the public in their homes</w:t>
      </w:r>
    </w:p>
    <w:p w14:paraId="361D7B07" w14:textId="48FF42B6" w:rsidR="0054793D" w:rsidRDefault="0054793D" w:rsidP="00B05D9B">
      <w:pPr>
        <w:pStyle w:val="ListParagraph"/>
        <w:numPr>
          <w:ilvl w:val="0"/>
          <w:numId w:val="41"/>
        </w:numPr>
        <w:rPr>
          <w:rFonts w:ascii="Verdana" w:hAnsi="Verdana"/>
        </w:rPr>
      </w:pPr>
      <w:r>
        <w:rPr>
          <w:rFonts w:ascii="Verdana" w:hAnsi="Verdana"/>
        </w:rPr>
        <w:t>Creating specific risk assessments for activities that involve interaction with the community</w:t>
      </w:r>
    </w:p>
    <w:p w14:paraId="03AF27D2" w14:textId="4462C596" w:rsidR="00C518B0" w:rsidRDefault="00C518B0" w:rsidP="00B05D9B">
      <w:pPr>
        <w:pStyle w:val="ListParagraph"/>
        <w:numPr>
          <w:ilvl w:val="0"/>
          <w:numId w:val="41"/>
        </w:numPr>
        <w:rPr>
          <w:rFonts w:ascii="Verdana" w:hAnsi="Verdana"/>
        </w:rPr>
      </w:pPr>
      <w:r>
        <w:rPr>
          <w:rFonts w:ascii="Verdana" w:hAnsi="Verdana"/>
        </w:rPr>
        <w:t xml:space="preserve">Appropriate PPE </w:t>
      </w:r>
      <w:r w:rsidR="00DF5808">
        <w:rPr>
          <w:rFonts w:ascii="Verdana" w:hAnsi="Verdana"/>
        </w:rPr>
        <w:t>of varying levels depending on the risk of transmission of the virus</w:t>
      </w:r>
    </w:p>
    <w:p w14:paraId="1C42E6E8" w14:textId="20E0A339" w:rsidR="00DF5808" w:rsidRDefault="00124BCA" w:rsidP="00B05D9B">
      <w:pPr>
        <w:pStyle w:val="ListParagraph"/>
        <w:numPr>
          <w:ilvl w:val="0"/>
          <w:numId w:val="41"/>
        </w:numPr>
        <w:rPr>
          <w:rFonts w:ascii="Verdana" w:hAnsi="Verdana"/>
        </w:rPr>
      </w:pPr>
      <w:r>
        <w:rPr>
          <w:rFonts w:ascii="Verdana" w:hAnsi="Verdana"/>
        </w:rPr>
        <w:t xml:space="preserve">Employees undertaking regular </w:t>
      </w:r>
      <w:r w:rsidR="00890B36">
        <w:rPr>
          <w:rFonts w:ascii="Verdana" w:hAnsi="Verdana"/>
        </w:rPr>
        <w:t>L</w:t>
      </w:r>
      <w:r>
        <w:rPr>
          <w:rFonts w:ascii="Verdana" w:hAnsi="Verdana"/>
        </w:rPr>
        <w:t xml:space="preserve">ateral </w:t>
      </w:r>
      <w:r w:rsidR="00890B36">
        <w:rPr>
          <w:rFonts w:ascii="Verdana" w:hAnsi="Verdana"/>
        </w:rPr>
        <w:t>F</w:t>
      </w:r>
      <w:r>
        <w:rPr>
          <w:rFonts w:ascii="Verdana" w:hAnsi="Verdana"/>
        </w:rPr>
        <w:t xml:space="preserve">low </w:t>
      </w:r>
      <w:r w:rsidR="00890B36">
        <w:rPr>
          <w:rFonts w:ascii="Verdana" w:hAnsi="Verdana"/>
        </w:rPr>
        <w:t>T</w:t>
      </w:r>
      <w:r>
        <w:rPr>
          <w:rFonts w:ascii="Verdana" w:hAnsi="Verdana"/>
        </w:rPr>
        <w:t xml:space="preserve">esting </w:t>
      </w:r>
      <w:r w:rsidR="00890B36">
        <w:rPr>
          <w:rFonts w:ascii="Verdana" w:hAnsi="Verdana"/>
        </w:rPr>
        <w:t xml:space="preserve">(LFT) </w:t>
      </w:r>
      <w:proofErr w:type="gramStart"/>
      <w:r>
        <w:rPr>
          <w:rFonts w:ascii="Verdana" w:hAnsi="Verdana"/>
        </w:rPr>
        <w:t>in order to</w:t>
      </w:r>
      <w:proofErr w:type="gramEnd"/>
      <w:r>
        <w:rPr>
          <w:rFonts w:ascii="Verdana" w:hAnsi="Verdana"/>
        </w:rPr>
        <w:t xml:space="preserve"> protect the community and colleagues</w:t>
      </w:r>
    </w:p>
    <w:p w14:paraId="347A53C0" w14:textId="6B5DC58A" w:rsidR="00124BCA" w:rsidRDefault="0021442C" w:rsidP="00B05D9B">
      <w:pPr>
        <w:pStyle w:val="ListParagraph"/>
        <w:numPr>
          <w:ilvl w:val="0"/>
          <w:numId w:val="41"/>
        </w:numPr>
        <w:rPr>
          <w:rFonts w:ascii="Verdana" w:hAnsi="Verdana"/>
        </w:rPr>
      </w:pPr>
      <w:r>
        <w:rPr>
          <w:rFonts w:ascii="Verdana" w:hAnsi="Verdana"/>
        </w:rPr>
        <w:t xml:space="preserve">Ceasing </w:t>
      </w:r>
      <w:r w:rsidR="0083512F">
        <w:rPr>
          <w:rFonts w:ascii="Verdana" w:hAnsi="Verdana"/>
        </w:rPr>
        <w:t>community-based</w:t>
      </w:r>
      <w:r>
        <w:rPr>
          <w:rFonts w:ascii="Verdana" w:hAnsi="Verdana"/>
        </w:rPr>
        <w:t xml:space="preserve"> activities such as </w:t>
      </w:r>
      <w:r w:rsidR="000E6672">
        <w:rPr>
          <w:rFonts w:ascii="Verdana" w:hAnsi="Verdana"/>
        </w:rPr>
        <w:t>schools’</w:t>
      </w:r>
      <w:r>
        <w:rPr>
          <w:rFonts w:ascii="Verdana" w:hAnsi="Verdana"/>
        </w:rPr>
        <w:t xml:space="preserve"> visits</w:t>
      </w:r>
    </w:p>
    <w:p w14:paraId="165350A6" w14:textId="06FE6239" w:rsidR="000E6672" w:rsidRDefault="000E6672" w:rsidP="00B05D9B">
      <w:pPr>
        <w:pStyle w:val="ListParagraph"/>
        <w:numPr>
          <w:ilvl w:val="0"/>
          <w:numId w:val="41"/>
        </w:numPr>
        <w:rPr>
          <w:rFonts w:ascii="Verdana" w:hAnsi="Verdana"/>
        </w:rPr>
      </w:pPr>
      <w:r>
        <w:rPr>
          <w:rFonts w:ascii="Verdana" w:hAnsi="Verdana"/>
        </w:rPr>
        <w:t xml:space="preserve">Restricting access to stations/sites </w:t>
      </w:r>
      <w:proofErr w:type="gramStart"/>
      <w:r w:rsidR="008C5062">
        <w:rPr>
          <w:rFonts w:ascii="Verdana" w:hAnsi="Verdana"/>
        </w:rPr>
        <w:t>with the exception of</w:t>
      </w:r>
      <w:proofErr w:type="gramEnd"/>
      <w:r w:rsidR="008C5062">
        <w:rPr>
          <w:rFonts w:ascii="Verdana" w:hAnsi="Verdana"/>
        </w:rPr>
        <w:t xml:space="preserve"> our trusted partners South Central Ambulance Service </w:t>
      </w:r>
      <w:r w:rsidR="00176A1D">
        <w:rPr>
          <w:rFonts w:ascii="Verdana" w:hAnsi="Verdana"/>
        </w:rPr>
        <w:t xml:space="preserve">(SCAS) </w:t>
      </w:r>
      <w:r w:rsidR="008C5062">
        <w:rPr>
          <w:rFonts w:ascii="Verdana" w:hAnsi="Verdana"/>
        </w:rPr>
        <w:t>and Thames Valley Police</w:t>
      </w:r>
      <w:r w:rsidR="00176A1D">
        <w:rPr>
          <w:rFonts w:ascii="Verdana" w:hAnsi="Verdana"/>
        </w:rPr>
        <w:t xml:space="preserve"> (TVP)</w:t>
      </w:r>
    </w:p>
    <w:p w14:paraId="7E9BFDA2" w14:textId="0BE8EF48" w:rsidR="006C4C4B" w:rsidRDefault="00175F17" w:rsidP="006C4C4B">
      <w:pPr>
        <w:rPr>
          <w:rFonts w:ascii="Verdana" w:hAnsi="Verdana"/>
        </w:rPr>
      </w:pPr>
      <w:r>
        <w:rPr>
          <w:rFonts w:ascii="Verdana" w:hAnsi="Verdana"/>
        </w:rPr>
        <w:t xml:space="preserve">An agreement is in place that allows SCAS </w:t>
      </w:r>
      <w:r w:rsidR="00D448B1">
        <w:rPr>
          <w:rFonts w:ascii="Verdana" w:hAnsi="Verdana"/>
        </w:rPr>
        <w:t xml:space="preserve">crews </w:t>
      </w:r>
      <w:r>
        <w:rPr>
          <w:rFonts w:ascii="Verdana" w:hAnsi="Verdana"/>
        </w:rPr>
        <w:t xml:space="preserve">to use </w:t>
      </w:r>
      <w:r w:rsidR="008A0376">
        <w:rPr>
          <w:rFonts w:ascii="Verdana" w:hAnsi="Verdana"/>
        </w:rPr>
        <w:t>certain fire stations for their welfare breaks</w:t>
      </w:r>
      <w:r w:rsidR="002A266D">
        <w:rPr>
          <w:rFonts w:ascii="Verdana" w:hAnsi="Verdana"/>
        </w:rPr>
        <w:t xml:space="preserve">. This agreement has remained in place throughout the pandemic with additional </w:t>
      </w:r>
      <w:r w:rsidR="00D448B1">
        <w:rPr>
          <w:rFonts w:ascii="Verdana" w:hAnsi="Verdana"/>
        </w:rPr>
        <w:t xml:space="preserve">control measures in place. </w:t>
      </w:r>
      <w:r w:rsidR="00AC7A0D">
        <w:rPr>
          <w:rFonts w:ascii="Verdana" w:hAnsi="Verdana"/>
        </w:rPr>
        <w:t xml:space="preserve">A “Trusted Partners” form containing </w:t>
      </w:r>
      <w:r w:rsidR="00342CB9">
        <w:rPr>
          <w:rFonts w:ascii="Verdana" w:hAnsi="Verdana"/>
        </w:rPr>
        <w:t xml:space="preserve">information on </w:t>
      </w:r>
      <w:r w:rsidR="004D72BD">
        <w:rPr>
          <w:rFonts w:ascii="Verdana" w:hAnsi="Verdana"/>
        </w:rPr>
        <w:t xml:space="preserve">the </w:t>
      </w:r>
      <w:r w:rsidR="00375F1F">
        <w:rPr>
          <w:rFonts w:ascii="Verdana" w:hAnsi="Verdana"/>
        </w:rPr>
        <w:t xml:space="preserve">implemented </w:t>
      </w:r>
      <w:r w:rsidR="004D72BD">
        <w:rPr>
          <w:rFonts w:ascii="Verdana" w:hAnsi="Verdana"/>
        </w:rPr>
        <w:t>COVID Secure measures has been developed</w:t>
      </w:r>
      <w:r w:rsidR="00935558">
        <w:rPr>
          <w:rFonts w:ascii="Verdana" w:hAnsi="Verdana"/>
        </w:rPr>
        <w:t>,</w:t>
      </w:r>
      <w:r w:rsidR="004D72BD">
        <w:rPr>
          <w:rFonts w:ascii="Verdana" w:hAnsi="Verdana"/>
        </w:rPr>
        <w:t xml:space="preserve"> </w:t>
      </w:r>
      <w:r w:rsidR="00394C76">
        <w:rPr>
          <w:rFonts w:ascii="Verdana" w:hAnsi="Verdana"/>
        </w:rPr>
        <w:t xml:space="preserve">which </w:t>
      </w:r>
      <w:r w:rsidR="00D448B1">
        <w:rPr>
          <w:rFonts w:ascii="Verdana" w:hAnsi="Verdana"/>
        </w:rPr>
        <w:t xml:space="preserve">SCAS crews are required to </w:t>
      </w:r>
      <w:r w:rsidR="004530CC">
        <w:rPr>
          <w:rFonts w:ascii="Verdana" w:hAnsi="Verdana"/>
        </w:rPr>
        <w:t>read, provide their contact details and sign to say that they will adhere to the measures in place at these stations</w:t>
      </w:r>
      <w:r w:rsidR="00394C76">
        <w:rPr>
          <w:rFonts w:ascii="Verdana" w:hAnsi="Verdana"/>
        </w:rPr>
        <w:t xml:space="preserve">. This also allows the </w:t>
      </w:r>
      <w:r w:rsidR="00A07B5D">
        <w:rPr>
          <w:rFonts w:ascii="Verdana" w:hAnsi="Verdana"/>
        </w:rPr>
        <w:t xml:space="preserve">Service to track who has </w:t>
      </w:r>
      <w:r w:rsidR="00935558">
        <w:rPr>
          <w:rFonts w:ascii="Verdana" w:hAnsi="Verdana"/>
        </w:rPr>
        <w:t>visited</w:t>
      </w:r>
      <w:r w:rsidR="007127F6">
        <w:rPr>
          <w:rFonts w:ascii="Verdana" w:hAnsi="Verdana"/>
        </w:rPr>
        <w:t xml:space="preserve"> these </w:t>
      </w:r>
      <w:r w:rsidR="00A07B5D">
        <w:rPr>
          <w:rFonts w:ascii="Verdana" w:hAnsi="Verdana"/>
        </w:rPr>
        <w:t xml:space="preserve">stations as part of the NHS Test and Trace </w:t>
      </w:r>
      <w:r w:rsidR="00375F1F">
        <w:rPr>
          <w:rFonts w:ascii="Verdana" w:hAnsi="Verdana"/>
        </w:rPr>
        <w:t>requirements.</w:t>
      </w:r>
    </w:p>
    <w:p w14:paraId="0D5DC58C" w14:textId="0143D4FA" w:rsidR="005B3015" w:rsidRDefault="00AF5714" w:rsidP="001D433D">
      <w:pPr>
        <w:rPr>
          <w:rFonts w:ascii="Verdana" w:hAnsi="Verdana"/>
        </w:rPr>
      </w:pPr>
      <w:r>
        <w:rPr>
          <w:rFonts w:ascii="Verdana" w:hAnsi="Verdana"/>
        </w:rPr>
        <w:t xml:space="preserve">Whilst </w:t>
      </w:r>
      <w:r w:rsidR="00015E9D">
        <w:rPr>
          <w:rFonts w:ascii="Verdana" w:hAnsi="Verdana"/>
        </w:rPr>
        <w:t>LFT</w:t>
      </w:r>
      <w:r>
        <w:rPr>
          <w:rFonts w:ascii="Verdana" w:hAnsi="Verdana"/>
        </w:rPr>
        <w:t xml:space="preserve"> tests </w:t>
      </w:r>
      <w:r w:rsidR="00AC2551">
        <w:rPr>
          <w:rFonts w:ascii="Verdana" w:hAnsi="Verdana"/>
        </w:rPr>
        <w:t xml:space="preserve">cannot be made mandatory, employees are strongly encouraged to test themselves regularly. </w:t>
      </w:r>
      <w:r w:rsidR="00015E9D">
        <w:rPr>
          <w:rFonts w:ascii="Verdana" w:hAnsi="Verdana"/>
        </w:rPr>
        <w:t>T</w:t>
      </w:r>
      <w:r w:rsidR="00E31533">
        <w:rPr>
          <w:rFonts w:ascii="Verdana" w:hAnsi="Verdana"/>
        </w:rPr>
        <w:t>est kits are available to employees</w:t>
      </w:r>
      <w:r w:rsidR="00F1661F">
        <w:rPr>
          <w:rFonts w:ascii="Verdana" w:hAnsi="Verdana"/>
        </w:rPr>
        <w:t xml:space="preserve"> who can order </w:t>
      </w:r>
      <w:r w:rsidR="0025673F">
        <w:rPr>
          <w:rFonts w:ascii="Verdana" w:hAnsi="Verdana"/>
        </w:rPr>
        <w:t>them</w:t>
      </w:r>
      <w:r w:rsidR="00F1661F">
        <w:rPr>
          <w:rFonts w:ascii="Verdana" w:hAnsi="Verdana"/>
        </w:rPr>
        <w:t xml:space="preserve"> via the intranet.</w:t>
      </w:r>
      <w:r>
        <w:rPr>
          <w:rFonts w:ascii="Verdana" w:hAnsi="Verdana"/>
        </w:rPr>
        <w:t xml:space="preserve"> </w:t>
      </w:r>
      <w:r w:rsidR="00555ADE">
        <w:rPr>
          <w:rFonts w:ascii="Verdana" w:hAnsi="Verdana"/>
        </w:rPr>
        <w:t xml:space="preserve">Results of the tests are then entered into the NHS portal and </w:t>
      </w:r>
      <w:r w:rsidR="008C72B0">
        <w:rPr>
          <w:rFonts w:ascii="Verdana" w:hAnsi="Verdana"/>
        </w:rPr>
        <w:t xml:space="preserve">internally, again, via the intranet. </w:t>
      </w:r>
      <w:r>
        <w:rPr>
          <w:rFonts w:ascii="Verdana" w:hAnsi="Verdana"/>
        </w:rPr>
        <w:t>Take up of these kits has been good and is proving successful.</w:t>
      </w:r>
    </w:p>
    <w:p w14:paraId="22898CE0" w14:textId="1CBD35CB" w:rsidR="008B6761" w:rsidRDefault="008B6761" w:rsidP="001D433D">
      <w:pPr>
        <w:rPr>
          <w:rFonts w:ascii="Verdana" w:hAnsi="Verdana"/>
        </w:rPr>
      </w:pPr>
      <w:r>
        <w:rPr>
          <w:rFonts w:ascii="Verdana" w:hAnsi="Verdana"/>
        </w:rPr>
        <w:t>The pandemic has presented many challenges</w:t>
      </w:r>
      <w:r w:rsidR="006B6F9A">
        <w:rPr>
          <w:rFonts w:ascii="Verdana" w:hAnsi="Verdana"/>
        </w:rPr>
        <w:t xml:space="preserve">. </w:t>
      </w:r>
      <w:r w:rsidR="00425520">
        <w:rPr>
          <w:rFonts w:ascii="Verdana" w:hAnsi="Verdana"/>
        </w:rPr>
        <w:t xml:space="preserve">The </w:t>
      </w:r>
      <w:r w:rsidR="004C2CD1">
        <w:rPr>
          <w:rFonts w:ascii="Verdana" w:hAnsi="Verdana"/>
        </w:rPr>
        <w:t>most significant</w:t>
      </w:r>
      <w:r w:rsidR="00425520">
        <w:rPr>
          <w:rFonts w:ascii="Verdana" w:hAnsi="Verdana"/>
        </w:rPr>
        <w:t xml:space="preserve"> challenge h</w:t>
      </w:r>
      <w:r w:rsidR="002F365D">
        <w:rPr>
          <w:rFonts w:ascii="Verdana" w:hAnsi="Verdana"/>
        </w:rPr>
        <w:t>as</w:t>
      </w:r>
      <w:r w:rsidR="00425520">
        <w:rPr>
          <w:rFonts w:ascii="Verdana" w:hAnsi="Verdana"/>
        </w:rPr>
        <w:t xml:space="preserve"> been the </w:t>
      </w:r>
      <w:r w:rsidR="00AA5ED3">
        <w:rPr>
          <w:rFonts w:ascii="Verdana" w:hAnsi="Verdana"/>
        </w:rPr>
        <w:t xml:space="preserve">necessary changes in human behaviour. Humans are social </w:t>
      </w:r>
      <w:r w:rsidR="00786687">
        <w:rPr>
          <w:rFonts w:ascii="Verdana" w:hAnsi="Verdana"/>
        </w:rPr>
        <w:t>beings,</w:t>
      </w:r>
      <w:r w:rsidR="00AA5ED3">
        <w:rPr>
          <w:rFonts w:ascii="Verdana" w:hAnsi="Verdana"/>
        </w:rPr>
        <w:t xml:space="preserve"> and it is alien </w:t>
      </w:r>
      <w:r w:rsidR="00F24B99">
        <w:rPr>
          <w:rFonts w:ascii="Verdana" w:hAnsi="Verdana"/>
        </w:rPr>
        <w:t xml:space="preserve">for them </w:t>
      </w:r>
      <w:r w:rsidR="00AA5ED3">
        <w:rPr>
          <w:rFonts w:ascii="Verdana" w:hAnsi="Verdana"/>
        </w:rPr>
        <w:t xml:space="preserve">to </w:t>
      </w:r>
      <w:r w:rsidR="008C008C">
        <w:rPr>
          <w:rFonts w:ascii="Verdana" w:hAnsi="Verdana"/>
        </w:rPr>
        <w:t xml:space="preserve">distance </w:t>
      </w:r>
      <w:r w:rsidR="00F24B99">
        <w:rPr>
          <w:rFonts w:ascii="Verdana" w:hAnsi="Verdana"/>
        </w:rPr>
        <w:t>themselves</w:t>
      </w:r>
      <w:r w:rsidR="008C008C">
        <w:rPr>
          <w:rFonts w:ascii="Verdana" w:hAnsi="Verdana"/>
        </w:rPr>
        <w:t xml:space="preserve"> from one another</w:t>
      </w:r>
      <w:r w:rsidR="00F24B99">
        <w:rPr>
          <w:rFonts w:ascii="Verdana" w:hAnsi="Verdana"/>
        </w:rPr>
        <w:t>. The wearing of facemasks is also unfamiliar and</w:t>
      </w:r>
      <w:r w:rsidR="00B358BE">
        <w:rPr>
          <w:rFonts w:ascii="Verdana" w:hAnsi="Verdana"/>
        </w:rPr>
        <w:t xml:space="preserve"> for many, initially</w:t>
      </w:r>
      <w:r w:rsidR="00F24B99">
        <w:rPr>
          <w:rFonts w:ascii="Verdana" w:hAnsi="Verdana"/>
        </w:rPr>
        <w:t>, un</w:t>
      </w:r>
      <w:r w:rsidR="00786687">
        <w:rPr>
          <w:rFonts w:ascii="Verdana" w:hAnsi="Verdana"/>
        </w:rPr>
        <w:t>comfortable.</w:t>
      </w:r>
      <w:r w:rsidR="002F365D">
        <w:rPr>
          <w:rFonts w:ascii="Verdana" w:hAnsi="Verdana"/>
        </w:rPr>
        <w:t xml:space="preserve"> It has taken time and effort to constantly remind employees of the </w:t>
      </w:r>
      <w:r w:rsidR="000C09DC">
        <w:rPr>
          <w:rFonts w:ascii="Verdana" w:hAnsi="Verdana"/>
        </w:rPr>
        <w:t>requirement to adhere to the COVID Secure measures in place</w:t>
      </w:r>
      <w:r w:rsidR="00B358BE">
        <w:rPr>
          <w:rFonts w:ascii="Verdana" w:hAnsi="Verdana"/>
        </w:rPr>
        <w:t xml:space="preserve"> and it has been difficult for employees to </w:t>
      </w:r>
      <w:r w:rsidR="004C2CD1">
        <w:rPr>
          <w:rFonts w:ascii="Verdana" w:hAnsi="Verdana"/>
        </w:rPr>
        <w:t>adapt.</w:t>
      </w:r>
    </w:p>
    <w:p w14:paraId="21C567F1" w14:textId="299B700C" w:rsidR="004C2CD1" w:rsidRDefault="004C2CD1" w:rsidP="001D433D">
      <w:pPr>
        <w:rPr>
          <w:rFonts w:ascii="Verdana" w:hAnsi="Verdana"/>
        </w:rPr>
      </w:pPr>
      <w:r>
        <w:rPr>
          <w:rFonts w:ascii="Verdana" w:hAnsi="Verdana"/>
        </w:rPr>
        <w:t xml:space="preserve">Balancing </w:t>
      </w:r>
      <w:r w:rsidR="00C93FF5">
        <w:rPr>
          <w:rFonts w:ascii="Verdana" w:hAnsi="Verdana"/>
        </w:rPr>
        <w:t>‘</w:t>
      </w:r>
      <w:r w:rsidR="007D45E8">
        <w:rPr>
          <w:rFonts w:ascii="Verdana" w:hAnsi="Verdana"/>
        </w:rPr>
        <w:t>business as usual</w:t>
      </w:r>
      <w:r w:rsidR="00C93FF5">
        <w:rPr>
          <w:rFonts w:ascii="Verdana" w:hAnsi="Verdana"/>
        </w:rPr>
        <w:t>’</w:t>
      </w:r>
      <w:r w:rsidR="007D45E8">
        <w:rPr>
          <w:rFonts w:ascii="Verdana" w:hAnsi="Verdana"/>
        </w:rPr>
        <w:t xml:space="preserve"> with the </w:t>
      </w:r>
      <w:r w:rsidR="00C93FF5">
        <w:rPr>
          <w:rFonts w:ascii="Verdana" w:hAnsi="Verdana"/>
        </w:rPr>
        <w:t>ever-increasing</w:t>
      </w:r>
      <w:r w:rsidR="007D45E8">
        <w:rPr>
          <w:rFonts w:ascii="Verdana" w:hAnsi="Verdana"/>
        </w:rPr>
        <w:t xml:space="preserve"> workloads created by the pandemic has also proved difficult. </w:t>
      </w:r>
      <w:r w:rsidR="00C93FF5">
        <w:rPr>
          <w:rFonts w:ascii="Verdana" w:hAnsi="Verdana"/>
        </w:rPr>
        <w:t xml:space="preserve">It has been necessary to scale back and even </w:t>
      </w:r>
      <w:r w:rsidR="001668BE">
        <w:rPr>
          <w:rFonts w:ascii="Verdana" w:hAnsi="Verdana"/>
        </w:rPr>
        <w:t xml:space="preserve">temporarily </w:t>
      </w:r>
      <w:r w:rsidR="00C93FF5">
        <w:rPr>
          <w:rFonts w:ascii="Verdana" w:hAnsi="Verdana"/>
        </w:rPr>
        <w:t xml:space="preserve">cease </w:t>
      </w:r>
      <w:r w:rsidR="004258BB">
        <w:rPr>
          <w:rFonts w:ascii="Verdana" w:hAnsi="Verdana"/>
        </w:rPr>
        <w:t>some work activities. For the Health and Safety team this has meant that updating the Health, Safety and Wellbeing noticeboards ha</w:t>
      </w:r>
      <w:r w:rsidR="004B095C">
        <w:rPr>
          <w:rFonts w:ascii="Verdana" w:hAnsi="Verdana"/>
        </w:rPr>
        <w:t>s ceased with the responsibility being deferred to station staff</w:t>
      </w:r>
      <w:r w:rsidR="00D31B56">
        <w:rPr>
          <w:rFonts w:ascii="Verdana" w:hAnsi="Verdana"/>
        </w:rPr>
        <w:t xml:space="preserve">. It should be noted that any work activity that </w:t>
      </w:r>
      <w:r w:rsidR="00552C83">
        <w:rPr>
          <w:rFonts w:ascii="Verdana" w:hAnsi="Verdana"/>
        </w:rPr>
        <w:t xml:space="preserve">impacts the health, safety and wellbeing of employees or is a legislative requirement has continued throughout. </w:t>
      </w:r>
      <w:r w:rsidR="005D7D73">
        <w:rPr>
          <w:rFonts w:ascii="Verdana" w:hAnsi="Verdana"/>
        </w:rPr>
        <w:t>Examples</w:t>
      </w:r>
      <w:r w:rsidR="00552C83">
        <w:rPr>
          <w:rFonts w:ascii="Verdana" w:hAnsi="Verdana"/>
        </w:rPr>
        <w:t xml:space="preserve"> of this </w:t>
      </w:r>
      <w:r w:rsidR="000869BD">
        <w:rPr>
          <w:rFonts w:ascii="Verdana" w:hAnsi="Verdana"/>
        </w:rPr>
        <w:t>are</w:t>
      </w:r>
      <w:r w:rsidR="00552C83">
        <w:rPr>
          <w:rFonts w:ascii="Verdana" w:hAnsi="Verdana"/>
        </w:rPr>
        <w:t xml:space="preserve"> the </w:t>
      </w:r>
      <w:r w:rsidR="00552C83">
        <w:rPr>
          <w:rFonts w:ascii="Verdana" w:hAnsi="Verdana"/>
        </w:rPr>
        <w:lastRenderedPageBreak/>
        <w:t xml:space="preserve">Portable Appliance </w:t>
      </w:r>
      <w:r w:rsidR="008B77C1">
        <w:rPr>
          <w:rFonts w:ascii="Verdana" w:hAnsi="Verdana"/>
        </w:rPr>
        <w:t xml:space="preserve">(PAT) testing, lifting equipment inspection and testing and </w:t>
      </w:r>
      <w:r w:rsidR="005D7D73">
        <w:rPr>
          <w:rFonts w:ascii="Verdana" w:hAnsi="Verdana"/>
        </w:rPr>
        <w:t xml:space="preserve">the control of legionella through the weekly flushing of water systems in stations and sites that are not used </w:t>
      </w:r>
      <w:proofErr w:type="gramStart"/>
      <w:r w:rsidR="005D7D73">
        <w:rPr>
          <w:rFonts w:ascii="Verdana" w:hAnsi="Verdana"/>
        </w:rPr>
        <w:t>on a daily basis</w:t>
      </w:r>
      <w:proofErr w:type="gramEnd"/>
      <w:r w:rsidR="005D7D73">
        <w:rPr>
          <w:rFonts w:ascii="Verdana" w:hAnsi="Verdana"/>
        </w:rPr>
        <w:t>.</w:t>
      </w:r>
      <w:r w:rsidR="004B095C">
        <w:rPr>
          <w:rFonts w:ascii="Verdana" w:hAnsi="Verdana"/>
        </w:rPr>
        <w:t xml:space="preserve"> </w:t>
      </w:r>
    </w:p>
    <w:p w14:paraId="243426B4" w14:textId="1DFCCDB5" w:rsidR="009C6B17" w:rsidRDefault="00D50C7D" w:rsidP="00D50C7D">
      <w:pPr>
        <w:rPr>
          <w:rFonts w:ascii="Verdana" w:hAnsi="Verdana"/>
        </w:rPr>
      </w:pPr>
      <w:r>
        <w:rPr>
          <w:rFonts w:ascii="Verdana" w:hAnsi="Verdana"/>
        </w:rPr>
        <w:t>Throughout lockdown, staff working from home and those who were shielding were contacted regularly by their line manager to check on their welfare and reminded of the support networks available to them should they feel isolated or that their mental health and wellbeing may be at risk.</w:t>
      </w:r>
    </w:p>
    <w:p w14:paraId="4127EE41" w14:textId="4CB0E860" w:rsidR="00D50C7D" w:rsidRDefault="009C6B17" w:rsidP="00D50C7D">
      <w:pPr>
        <w:rPr>
          <w:rFonts w:ascii="Verdana" w:hAnsi="Verdana"/>
        </w:rPr>
      </w:pPr>
      <w:r>
        <w:rPr>
          <w:rFonts w:ascii="Verdana" w:hAnsi="Verdana"/>
        </w:rPr>
        <w:t>A</w:t>
      </w:r>
      <w:r w:rsidR="00D50C7D">
        <w:rPr>
          <w:rFonts w:ascii="Verdana" w:hAnsi="Verdana"/>
        </w:rPr>
        <w:t xml:space="preserve"> ‘Supporting staff back into the workplace’ aide memoire was developed </w:t>
      </w:r>
      <w:r w:rsidR="00414557">
        <w:rPr>
          <w:rFonts w:ascii="Verdana" w:hAnsi="Verdana"/>
        </w:rPr>
        <w:t xml:space="preserve">for those who were shielding or returning to the workplace </w:t>
      </w:r>
      <w:r>
        <w:rPr>
          <w:rFonts w:ascii="Verdana" w:hAnsi="Verdana"/>
        </w:rPr>
        <w:t>once lockdown had ended</w:t>
      </w:r>
      <w:r w:rsidR="00CF7B30">
        <w:rPr>
          <w:rFonts w:ascii="Verdana" w:hAnsi="Verdana"/>
        </w:rPr>
        <w:t>,</w:t>
      </w:r>
      <w:r w:rsidR="00D50C7D">
        <w:rPr>
          <w:rFonts w:ascii="Verdana" w:hAnsi="Verdana"/>
        </w:rPr>
        <w:t xml:space="preserve"> provid</w:t>
      </w:r>
      <w:r>
        <w:rPr>
          <w:rFonts w:ascii="Verdana" w:hAnsi="Verdana"/>
        </w:rPr>
        <w:t>ing</w:t>
      </w:r>
      <w:r w:rsidR="00D50C7D">
        <w:rPr>
          <w:rFonts w:ascii="Verdana" w:hAnsi="Verdana"/>
        </w:rPr>
        <w:t xml:space="preserve"> the latest position on the measures implemented, adjustments necessary etc. in a bid to allay concerns and reassure staff</w:t>
      </w:r>
      <w:r w:rsidR="00CF7B30">
        <w:rPr>
          <w:rFonts w:ascii="Verdana" w:hAnsi="Verdana"/>
        </w:rPr>
        <w:t xml:space="preserve"> who could find returning to the workplace difficult after being away for so long</w:t>
      </w:r>
      <w:r w:rsidR="00D50C7D">
        <w:rPr>
          <w:rFonts w:ascii="Verdana" w:hAnsi="Verdana"/>
        </w:rPr>
        <w:t xml:space="preserve">. This </w:t>
      </w:r>
      <w:r w:rsidR="00FB6335">
        <w:rPr>
          <w:rFonts w:ascii="Verdana" w:hAnsi="Verdana"/>
        </w:rPr>
        <w:t xml:space="preserve">aide memoire </w:t>
      </w:r>
      <w:r w:rsidR="00D50C7D">
        <w:rPr>
          <w:rFonts w:ascii="Verdana" w:hAnsi="Verdana"/>
        </w:rPr>
        <w:t>was completed by both the individual and line manager</w:t>
      </w:r>
      <w:r w:rsidR="00FB6335">
        <w:rPr>
          <w:rFonts w:ascii="Verdana" w:hAnsi="Verdana"/>
        </w:rPr>
        <w:t xml:space="preserve"> and retained as an au</w:t>
      </w:r>
      <w:r w:rsidR="007E785E">
        <w:rPr>
          <w:rFonts w:ascii="Verdana" w:hAnsi="Verdana"/>
        </w:rPr>
        <w:t>dit trail in the event of future challenge.</w:t>
      </w:r>
    </w:p>
    <w:p w14:paraId="02CDCD36" w14:textId="65467857" w:rsidR="001E55A0" w:rsidRDefault="00C8211C" w:rsidP="00506F0A">
      <w:pPr>
        <w:pStyle w:val="NormalWeb"/>
        <w:shd w:val="clear" w:color="auto" w:fill="FFFFFF"/>
        <w:spacing w:before="0" w:beforeAutospacing="0"/>
        <w:rPr>
          <w:rFonts w:ascii="Verdana" w:hAnsi="Verdana"/>
          <w:i/>
          <w:iCs/>
          <w:sz w:val="22"/>
          <w:szCs w:val="22"/>
        </w:rPr>
      </w:pPr>
      <w:r w:rsidRPr="001E55A0">
        <w:rPr>
          <w:rFonts w:ascii="Verdana" w:hAnsi="Verdana"/>
          <w:sz w:val="22"/>
          <w:szCs w:val="22"/>
        </w:rPr>
        <w:t xml:space="preserve">In November </w:t>
      </w:r>
      <w:r w:rsidR="00464392" w:rsidRPr="001E55A0">
        <w:rPr>
          <w:rFonts w:ascii="Verdana" w:hAnsi="Verdana"/>
          <w:sz w:val="22"/>
          <w:szCs w:val="22"/>
        </w:rPr>
        <w:t xml:space="preserve">Her Majesty’s Inspectorate of Constabulary and Fire and Rescue </w:t>
      </w:r>
      <w:r w:rsidR="004A32D5" w:rsidRPr="001E55A0">
        <w:rPr>
          <w:rFonts w:ascii="Verdana" w:hAnsi="Verdana"/>
          <w:sz w:val="22"/>
          <w:szCs w:val="22"/>
        </w:rPr>
        <w:t>Services</w:t>
      </w:r>
      <w:r w:rsidR="00464392" w:rsidRPr="001E55A0">
        <w:rPr>
          <w:rFonts w:ascii="Verdana" w:hAnsi="Verdana"/>
          <w:sz w:val="22"/>
          <w:szCs w:val="22"/>
        </w:rPr>
        <w:t xml:space="preserve"> (HMICFRS</w:t>
      </w:r>
      <w:r w:rsidR="004A32D5" w:rsidRPr="001E55A0">
        <w:rPr>
          <w:rFonts w:ascii="Verdana" w:hAnsi="Verdana"/>
          <w:sz w:val="22"/>
          <w:szCs w:val="22"/>
        </w:rPr>
        <w:t>)</w:t>
      </w:r>
      <w:r w:rsidR="00E00AD3" w:rsidRPr="001E55A0">
        <w:rPr>
          <w:rFonts w:ascii="Verdana" w:hAnsi="Verdana"/>
          <w:sz w:val="22"/>
          <w:szCs w:val="22"/>
        </w:rPr>
        <w:t xml:space="preserve"> conducted a virtual </w:t>
      </w:r>
      <w:r w:rsidR="00422205" w:rsidRPr="001E55A0">
        <w:rPr>
          <w:rFonts w:ascii="Verdana" w:hAnsi="Verdana"/>
          <w:sz w:val="22"/>
          <w:szCs w:val="22"/>
        </w:rPr>
        <w:t>COVID-19 inspection.</w:t>
      </w:r>
      <w:r w:rsidR="00506F0A" w:rsidRPr="001E55A0">
        <w:rPr>
          <w:rFonts w:ascii="Verdana" w:hAnsi="Verdana"/>
          <w:sz w:val="22"/>
          <w:szCs w:val="22"/>
        </w:rPr>
        <w:t xml:space="preserve"> The headlines </w:t>
      </w:r>
      <w:r w:rsidR="001E55A0" w:rsidRPr="001E55A0">
        <w:rPr>
          <w:rFonts w:ascii="Verdana" w:hAnsi="Verdana"/>
          <w:sz w:val="22"/>
          <w:szCs w:val="22"/>
        </w:rPr>
        <w:t xml:space="preserve">of the </w:t>
      </w:r>
      <w:r w:rsidR="00333D3A">
        <w:rPr>
          <w:rFonts w:ascii="Verdana" w:hAnsi="Verdana"/>
          <w:sz w:val="22"/>
          <w:szCs w:val="22"/>
        </w:rPr>
        <w:t>findings</w:t>
      </w:r>
      <w:r w:rsidR="001E55A0" w:rsidRPr="001E55A0">
        <w:rPr>
          <w:rFonts w:ascii="Verdana" w:hAnsi="Verdana"/>
          <w:sz w:val="22"/>
          <w:szCs w:val="22"/>
        </w:rPr>
        <w:t xml:space="preserve"> </w:t>
      </w:r>
      <w:r w:rsidR="00333D3A">
        <w:rPr>
          <w:rFonts w:ascii="Verdana" w:hAnsi="Verdana"/>
          <w:sz w:val="22"/>
          <w:szCs w:val="22"/>
        </w:rPr>
        <w:t>are detailed below:</w:t>
      </w:r>
      <w:r w:rsidR="001E55A0" w:rsidRPr="001E55A0">
        <w:rPr>
          <w:rFonts w:ascii="Verdana" w:hAnsi="Verdana"/>
          <w:i/>
          <w:iCs/>
          <w:sz w:val="22"/>
          <w:szCs w:val="22"/>
        </w:rPr>
        <w:t xml:space="preserve"> </w:t>
      </w:r>
    </w:p>
    <w:p w14:paraId="313707C6" w14:textId="0ADD7AB2" w:rsidR="00506F0A" w:rsidRPr="001E55A0" w:rsidRDefault="00506F0A" w:rsidP="00506F0A">
      <w:pPr>
        <w:pStyle w:val="NormalWeb"/>
        <w:shd w:val="clear" w:color="auto" w:fill="FFFFFF"/>
        <w:spacing w:before="0" w:beforeAutospacing="0"/>
        <w:rPr>
          <w:rFonts w:ascii="Verdana" w:eastAsia="Times New Roman" w:hAnsi="Verdana"/>
          <w:i/>
          <w:iCs/>
          <w:color w:val="000000"/>
          <w:sz w:val="22"/>
          <w:szCs w:val="22"/>
        </w:rPr>
      </w:pPr>
      <w:r w:rsidRPr="001E55A0">
        <w:rPr>
          <w:rFonts w:ascii="Verdana" w:eastAsia="Times New Roman" w:hAnsi="Verdana"/>
          <w:i/>
          <w:iCs/>
          <w:color w:val="000000"/>
          <w:sz w:val="22"/>
          <w:szCs w:val="22"/>
        </w:rPr>
        <w:t>Buckinghamshire Fire &amp; Rescue Service has been praised for the way it is coping with the challenges it faces during the COVID-19 pandemic, and for the positive contribution it is making to its community</w:t>
      </w:r>
      <w:r w:rsidR="001E55A0">
        <w:rPr>
          <w:rFonts w:ascii="Verdana" w:eastAsia="Times New Roman" w:hAnsi="Verdana"/>
          <w:i/>
          <w:iCs/>
          <w:color w:val="000000"/>
          <w:sz w:val="22"/>
          <w:szCs w:val="22"/>
        </w:rPr>
        <w:t>.</w:t>
      </w:r>
    </w:p>
    <w:p w14:paraId="45081AC4" w14:textId="77777777"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The report has been welcomed by Chief Fire Officer Jason Thelwell QFSM and Councillor Lesley Clarke OBE, Chairman of Buckinghamshire &amp; Milton Keynes Fire Authority, whose members were actively engaged in discussions with officers on the service’s ability to discharge its statutory functions.</w:t>
      </w:r>
    </w:p>
    <w:p w14:paraId="62F7B30F" w14:textId="77777777"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 xml:space="preserve">The report said BFRS had been well prepared, maintained its core functions of firefighting, promoting fire safety, responding to </w:t>
      </w:r>
      <w:proofErr w:type="gramStart"/>
      <w:r w:rsidRPr="00506F0A">
        <w:rPr>
          <w:rFonts w:ascii="Verdana" w:eastAsia="Times New Roman" w:hAnsi="Verdana" w:cs="Times New Roman"/>
          <w:i/>
          <w:iCs/>
          <w:color w:val="000000"/>
          <w:lang w:eastAsia="en-GB"/>
        </w:rPr>
        <w:t>emergencies</w:t>
      </w:r>
      <w:proofErr w:type="gramEnd"/>
      <w:r w:rsidRPr="00506F0A">
        <w:rPr>
          <w:rFonts w:ascii="Verdana" w:eastAsia="Times New Roman" w:hAnsi="Verdana" w:cs="Times New Roman"/>
          <w:i/>
          <w:iCs/>
          <w:color w:val="000000"/>
          <w:lang w:eastAsia="en-GB"/>
        </w:rPr>
        <w:t xml:space="preserve"> and rescuing people involved in road traffic collisions, adopted new and innovative ways of working and even managed to provide additional support to a number of other organisations. This included driving ambulances for South Central Ambulance Service, training care home staff in infection control and packing food parcels for vulnerable people.</w:t>
      </w:r>
    </w:p>
    <w:p w14:paraId="539D28D4" w14:textId="77777777"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CFO Thelwell said: “I could not be prouder of the way staff have risen to every challenge with such willingness and commitment. Since this inspection was carried out, they have gone on to help set up three mass vaccination centres in the area we serve. We will continue to work tirelessly to support our partner organisations and the communities of Buckinghamshire and Milton Keynes.”</w:t>
      </w:r>
    </w:p>
    <w:p w14:paraId="4F3439D0" w14:textId="77777777"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 xml:space="preserve">Councillor Clarke said: “Emergency service work is challenging at the best of times, so recognition for going above and beyond in such difficult and unpredictable circumstances is a remarkable achievement. It speaks volumes about the men and women who work here, and on behalf of the Fire Authority I </w:t>
      </w:r>
      <w:r w:rsidRPr="00506F0A">
        <w:rPr>
          <w:rFonts w:ascii="Verdana" w:eastAsia="Times New Roman" w:hAnsi="Verdana" w:cs="Times New Roman"/>
          <w:i/>
          <w:iCs/>
          <w:color w:val="000000"/>
          <w:lang w:eastAsia="en-GB"/>
        </w:rPr>
        <w:lastRenderedPageBreak/>
        <w:t>would like to thank them all for their can-do attitude, dedication to duty and willingness to work differently.”</w:t>
      </w:r>
    </w:p>
    <w:p w14:paraId="219AB083" w14:textId="77777777"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 xml:space="preserve">The report said the organisation’s resources were well managed and it effectively managed its low level of staff absences. The inspection also found that BFRS communicated well with its staff, and made staff wellbeing a priority by providing guidance, </w:t>
      </w:r>
      <w:proofErr w:type="gramStart"/>
      <w:r w:rsidRPr="00506F0A">
        <w:rPr>
          <w:rFonts w:ascii="Verdana" w:eastAsia="Times New Roman" w:hAnsi="Verdana" w:cs="Times New Roman"/>
          <w:i/>
          <w:iCs/>
          <w:color w:val="000000"/>
          <w:lang w:eastAsia="en-GB"/>
        </w:rPr>
        <w:t>support</w:t>
      </w:r>
      <w:proofErr w:type="gramEnd"/>
      <w:r w:rsidRPr="00506F0A">
        <w:rPr>
          <w:rFonts w:ascii="Verdana" w:eastAsia="Times New Roman" w:hAnsi="Verdana" w:cs="Times New Roman"/>
          <w:i/>
          <w:iCs/>
          <w:color w:val="000000"/>
          <w:lang w:eastAsia="en-GB"/>
        </w:rPr>
        <w:t xml:space="preserve"> and extra wellbeing services. It also made sure they had the resources they needed to do their jobs effectively, including new flexible working arrangements and new technology to facilitate virtual meetings.</w:t>
      </w:r>
    </w:p>
    <w:p w14:paraId="46726429" w14:textId="71FD8359"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The inspection report, which is available on the HMICFRS website</w:t>
      </w:r>
      <w:r w:rsidR="0025673F">
        <w:rPr>
          <w:rFonts w:ascii="Verdana" w:eastAsia="Times New Roman" w:hAnsi="Verdana" w:cs="Times New Roman"/>
          <w:i/>
          <w:iCs/>
          <w:color w:val="000000"/>
          <w:lang w:eastAsia="en-GB"/>
        </w:rPr>
        <w:t>,</w:t>
      </w:r>
      <w:r w:rsidRPr="00506F0A">
        <w:rPr>
          <w:rFonts w:ascii="Verdana" w:eastAsia="Times New Roman" w:hAnsi="Verdana" w:cs="Times New Roman"/>
          <w:i/>
          <w:iCs/>
          <w:color w:val="000000"/>
          <w:lang w:eastAsia="en-GB"/>
        </w:rPr>
        <w:t> noted that between 1 April and 30 June 2020, BFRS attended fewer incidents than it did during the same period in 2019. The overall availability of fire engines was better during the pandemic than it was during the same period in 2019, partly because on-call firefighters were available to respond to emergencies due to being furloughed from their primary employment.</w:t>
      </w:r>
    </w:p>
    <w:p w14:paraId="2D79592E" w14:textId="77777777"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Absences decreased compared with the same period in 2019, and the average response time to fires improved. This was for several reasons, including lower sickness levels, better fire engine availability and less road traffic during this period.</w:t>
      </w:r>
    </w:p>
    <w:p w14:paraId="235EFCD9" w14:textId="77777777" w:rsidR="00506F0A" w:rsidRP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The service also had good arrangements in place to make sure that its joint control room, shared with Royal Berkshire and Oxfordshire, had enough staff during the pandemic. Additionally, it continued to collaborate with its partners, and provided effective support to the Thames Valley Local Resilience Forum.</w:t>
      </w:r>
    </w:p>
    <w:p w14:paraId="0E16E115" w14:textId="35B62D82" w:rsidR="00506F0A" w:rsidRDefault="00506F0A" w:rsidP="00506F0A">
      <w:pPr>
        <w:shd w:val="clear" w:color="auto" w:fill="FFFFFF"/>
        <w:spacing w:after="100" w:afterAutospacing="1" w:line="240" w:lineRule="auto"/>
        <w:rPr>
          <w:rFonts w:ascii="Verdana" w:eastAsia="Times New Roman" w:hAnsi="Verdana" w:cs="Times New Roman"/>
          <w:i/>
          <w:iCs/>
          <w:color w:val="000000"/>
          <w:lang w:eastAsia="en-GB"/>
        </w:rPr>
      </w:pPr>
      <w:r w:rsidRPr="00506F0A">
        <w:rPr>
          <w:rFonts w:ascii="Verdana" w:eastAsia="Times New Roman" w:hAnsi="Verdana" w:cs="Times New Roman"/>
          <w:i/>
          <w:iCs/>
          <w:color w:val="000000"/>
          <w:lang w:eastAsia="en-GB"/>
        </w:rPr>
        <w:t>It was able to go ahead with its planned move into the new Blue Light Hub in West Ashland, Milton Keynes, in June, and to complete an apprentice recruitment process for operational activity. This followed all government guidance on social distancing and hygiene.</w:t>
      </w:r>
    </w:p>
    <w:p w14:paraId="3758001A" w14:textId="5E5AD920" w:rsidR="00DF4060" w:rsidRDefault="00DA33A6" w:rsidP="00972F55">
      <w:pPr>
        <w:rPr>
          <w:rFonts w:ascii="Verdana" w:hAnsi="Verdana"/>
        </w:rPr>
      </w:pPr>
      <w:r w:rsidRPr="00DA33A6">
        <w:rPr>
          <w:rFonts w:ascii="Verdana" w:eastAsia="Times New Roman" w:hAnsi="Verdana" w:cs="Times New Roman"/>
          <w:b/>
          <w:bCs/>
          <w:color w:val="000000"/>
          <w:lang w:eastAsia="en-GB"/>
        </w:rPr>
        <w:t>Externally</w:t>
      </w:r>
      <w:r>
        <w:rPr>
          <w:rFonts w:ascii="Verdana" w:eastAsia="Times New Roman" w:hAnsi="Verdana" w:cs="Times New Roman"/>
          <w:b/>
          <w:bCs/>
          <w:color w:val="000000"/>
          <w:lang w:eastAsia="en-GB"/>
        </w:rPr>
        <w:t xml:space="preserve"> - </w:t>
      </w:r>
      <w:r w:rsidR="00972F55" w:rsidRPr="003A7D1A">
        <w:rPr>
          <w:rFonts w:ascii="Verdana" w:hAnsi="Verdana"/>
        </w:rPr>
        <w:t xml:space="preserve">The Tripartite Agreement/s (agreement between the Fire &amp; Rescue Services National Employers, the Fire Brigades </w:t>
      </w:r>
      <w:proofErr w:type="gramStart"/>
      <w:r w:rsidR="00972F55" w:rsidRPr="003A7D1A">
        <w:rPr>
          <w:rFonts w:ascii="Verdana" w:hAnsi="Verdana"/>
        </w:rPr>
        <w:t>Union</w:t>
      </w:r>
      <w:proofErr w:type="gramEnd"/>
      <w:r w:rsidR="00972F55" w:rsidRPr="003A7D1A">
        <w:rPr>
          <w:rFonts w:ascii="Verdana" w:hAnsi="Verdana"/>
        </w:rPr>
        <w:t xml:space="preserve"> and the National Fire Chiefs Council) </w:t>
      </w:r>
      <w:r w:rsidR="00972F55">
        <w:rPr>
          <w:rFonts w:ascii="Verdana" w:hAnsi="Verdana"/>
        </w:rPr>
        <w:t xml:space="preserve">supported </w:t>
      </w:r>
      <w:r w:rsidR="005130BC">
        <w:rPr>
          <w:rFonts w:ascii="Verdana" w:hAnsi="Verdana"/>
        </w:rPr>
        <w:t xml:space="preserve">a range of </w:t>
      </w:r>
      <w:r w:rsidR="00972F55">
        <w:rPr>
          <w:rFonts w:ascii="Verdana" w:hAnsi="Verdana"/>
        </w:rPr>
        <w:t xml:space="preserve">new and additional activities for the Service. Examples of </w:t>
      </w:r>
      <w:r w:rsidR="005130BC">
        <w:rPr>
          <w:rFonts w:ascii="Verdana" w:hAnsi="Verdana"/>
        </w:rPr>
        <w:t>activities undertaken</w:t>
      </w:r>
      <w:r w:rsidR="00972F55">
        <w:rPr>
          <w:rFonts w:ascii="Verdana" w:hAnsi="Verdana"/>
        </w:rPr>
        <w:t xml:space="preserve"> are </w:t>
      </w:r>
      <w:r w:rsidR="00DF4060">
        <w:rPr>
          <w:rFonts w:ascii="Verdana" w:hAnsi="Verdana"/>
        </w:rPr>
        <w:t>detailed below:</w:t>
      </w:r>
    </w:p>
    <w:p w14:paraId="567AD887" w14:textId="3C644B35" w:rsidR="00DF4060" w:rsidRDefault="00FB092B" w:rsidP="00DF4060">
      <w:pPr>
        <w:pStyle w:val="ListParagraph"/>
        <w:numPr>
          <w:ilvl w:val="0"/>
          <w:numId w:val="42"/>
        </w:numPr>
        <w:rPr>
          <w:rFonts w:ascii="Verdana" w:hAnsi="Verdana"/>
        </w:rPr>
      </w:pPr>
      <w:r>
        <w:rPr>
          <w:rFonts w:ascii="Verdana" w:hAnsi="Verdana"/>
        </w:rPr>
        <w:t>D</w:t>
      </w:r>
      <w:r w:rsidR="00972F55" w:rsidRPr="00DF4060">
        <w:rPr>
          <w:rFonts w:ascii="Verdana" w:hAnsi="Verdana"/>
        </w:rPr>
        <w:t xml:space="preserve">riving ambulances for SCAS </w:t>
      </w:r>
    </w:p>
    <w:p w14:paraId="7E348FD9" w14:textId="740BDECF" w:rsidR="00FB092B" w:rsidRDefault="00FB092B" w:rsidP="00DF4060">
      <w:pPr>
        <w:pStyle w:val="ListParagraph"/>
        <w:numPr>
          <w:ilvl w:val="0"/>
          <w:numId w:val="42"/>
        </w:numPr>
        <w:rPr>
          <w:rFonts w:ascii="Verdana" w:hAnsi="Verdana"/>
        </w:rPr>
      </w:pPr>
      <w:r>
        <w:rPr>
          <w:rFonts w:ascii="Verdana" w:hAnsi="Verdana"/>
        </w:rPr>
        <w:t>T</w:t>
      </w:r>
      <w:r w:rsidR="00972F55" w:rsidRPr="00DF4060">
        <w:rPr>
          <w:rFonts w:ascii="Verdana" w:hAnsi="Verdana"/>
        </w:rPr>
        <w:t xml:space="preserve">raining care home staff in </w:t>
      </w:r>
      <w:r w:rsidR="00B16083" w:rsidRPr="00DF4060">
        <w:rPr>
          <w:rFonts w:ascii="Verdana" w:hAnsi="Verdana"/>
        </w:rPr>
        <w:t xml:space="preserve">infection control </w:t>
      </w:r>
    </w:p>
    <w:p w14:paraId="60F38FC2" w14:textId="7CF89F8A" w:rsidR="00B16083" w:rsidRDefault="00DD0E0C" w:rsidP="00DF4060">
      <w:pPr>
        <w:pStyle w:val="ListParagraph"/>
        <w:numPr>
          <w:ilvl w:val="0"/>
          <w:numId w:val="42"/>
        </w:numPr>
        <w:rPr>
          <w:rFonts w:ascii="Verdana" w:hAnsi="Verdana"/>
        </w:rPr>
      </w:pPr>
      <w:r>
        <w:rPr>
          <w:rFonts w:ascii="Verdana" w:hAnsi="Verdana"/>
        </w:rPr>
        <w:t>P</w:t>
      </w:r>
      <w:r w:rsidR="00B16083" w:rsidRPr="00DF4060">
        <w:rPr>
          <w:rFonts w:ascii="Verdana" w:hAnsi="Verdana"/>
        </w:rPr>
        <w:t>ackaging food parcels for vulnerable people</w:t>
      </w:r>
    </w:p>
    <w:p w14:paraId="499E723D" w14:textId="4DF0CE3E" w:rsidR="00FB092B" w:rsidRDefault="00FB092B" w:rsidP="00DF4060">
      <w:pPr>
        <w:pStyle w:val="ListParagraph"/>
        <w:numPr>
          <w:ilvl w:val="0"/>
          <w:numId w:val="42"/>
        </w:numPr>
        <w:rPr>
          <w:rFonts w:ascii="Verdana" w:hAnsi="Verdana"/>
        </w:rPr>
      </w:pPr>
      <w:r>
        <w:rPr>
          <w:rFonts w:ascii="Verdana" w:hAnsi="Verdana"/>
        </w:rPr>
        <w:t>Delivery of NHS ‘Test and Trace’ letters</w:t>
      </w:r>
    </w:p>
    <w:p w14:paraId="2A24FE43" w14:textId="644007C3" w:rsidR="00FB092B" w:rsidRDefault="00FB092B" w:rsidP="00DF4060">
      <w:pPr>
        <w:pStyle w:val="ListParagraph"/>
        <w:numPr>
          <w:ilvl w:val="0"/>
          <w:numId w:val="42"/>
        </w:numPr>
        <w:rPr>
          <w:rFonts w:ascii="Verdana" w:hAnsi="Verdana"/>
        </w:rPr>
      </w:pPr>
      <w:r>
        <w:rPr>
          <w:rFonts w:ascii="Verdana" w:hAnsi="Verdana"/>
        </w:rPr>
        <w:t xml:space="preserve">Setting up and </w:t>
      </w:r>
      <w:r w:rsidR="0034063E">
        <w:rPr>
          <w:rFonts w:ascii="Verdana" w:hAnsi="Verdana"/>
        </w:rPr>
        <w:t xml:space="preserve">overseeing </w:t>
      </w:r>
      <w:r w:rsidR="00731CF5">
        <w:rPr>
          <w:rFonts w:ascii="Verdana" w:hAnsi="Verdana"/>
        </w:rPr>
        <w:t xml:space="preserve">the running of </w:t>
      </w:r>
      <w:r w:rsidR="0034063E">
        <w:rPr>
          <w:rFonts w:ascii="Verdana" w:hAnsi="Verdana"/>
        </w:rPr>
        <w:t>mass vaccination centres</w:t>
      </w:r>
    </w:p>
    <w:p w14:paraId="0FD4699B" w14:textId="78596844" w:rsidR="0034063E" w:rsidRDefault="00E841E6" w:rsidP="00DF4060">
      <w:pPr>
        <w:pStyle w:val="ListParagraph"/>
        <w:numPr>
          <w:ilvl w:val="0"/>
          <w:numId w:val="42"/>
        </w:numPr>
        <w:rPr>
          <w:rFonts w:ascii="Verdana" w:hAnsi="Verdana"/>
        </w:rPr>
      </w:pPr>
      <w:r>
        <w:rPr>
          <w:rFonts w:ascii="Verdana" w:hAnsi="Verdana"/>
        </w:rPr>
        <w:t xml:space="preserve">Assisting in the packaging and distribution of PPE </w:t>
      </w:r>
    </w:p>
    <w:p w14:paraId="151C4395" w14:textId="07603F3B" w:rsidR="00DD0E0C" w:rsidRDefault="005B74AB" w:rsidP="00DF4060">
      <w:pPr>
        <w:pStyle w:val="ListParagraph"/>
        <w:numPr>
          <w:ilvl w:val="0"/>
          <w:numId w:val="42"/>
        </w:numPr>
        <w:rPr>
          <w:rFonts w:ascii="Verdana" w:hAnsi="Verdana"/>
        </w:rPr>
      </w:pPr>
      <w:r>
        <w:rPr>
          <w:rFonts w:ascii="Verdana" w:hAnsi="Verdana"/>
        </w:rPr>
        <w:t>Collecting and distributing medication to vulnerable shielding people</w:t>
      </w:r>
    </w:p>
    <w:p w14:paraId="12665DA7" w14:textId="627D3FF4" w:rsidR="007909A7" w:rsidRDefault="00AE1695" w:rsidP="00DF4060">
      <w:pPr>
        <w:pStyle w:val="ListParagraph"/>
        <w:numPr>
          <w:ilvl w:val="0"/>
          <w:numId w:val="42"/>
        </w:numPr>
        <w:rPr>
          <w:rFonts w:ascii="Verdana" w:hAnsi="Verdana"/>
        </w:rPr>
      </w:pPr>
      <w:r>
        <w:rPr>
          <w:rFonts w:ascii="Verdana" w:hAnsi="Verdana"/>
        </w:rPr>
        <w:t>Providing station appliance bay space and facilitating the packing and distribution of fruit and vegetables for Buckinghamshire Council</w:t>
      </w:r>
      <w:r w:rsidR="00DE7655">
        <w:rPr>
          <w:rFonts w:ascii="Verdana" w:hAnsi="Verdana"/>
        </w:rPr>
        <w:t xml:space="preserve"> at Marlow</w:t>
      </w:r>
    </w:p>
    <w:p w14:paraId="7A0B62E8" w14:textId="768EFA9F" w:rsidR="00594EEB" w:rsidRDefault="00594EEB" w:rsidP="00DF4060">
      <w:pPr>
        <w:pStyle w:val="ListParagraph"/>
        <w:numPr>
          <w:ilvl w:val="0"/>
          <w:numId w:val="42"/>
        </w:numPr>
        <w:rPr>
          <w:rFonts w:ascii="Verdana" w:hAnsi="Verdana"/>
        </w:rPr>
      </w:pPr>
      <w:r>
        <w:rPr>
          <w:rFonts w:ascii="Verdana" w:hAnsi="Verdana"/>
        </w:rPr>
        <w:t xml:space="preserve">Supporting and chairing meetings within the Local Resilience Forum (LRF) </w:t>
      </w:r>
    </w:p>
    <w:p w14:paraId="57D510EA" w14:textId="4F318AD1" w:rsidR="00380B7A" w:rsidRPr="00380B7A" w:rsidRDefault="00C16733" w:rsidP="00380B7A">
      <w:pPr>
        <w:rPr>
          <w:rFonts w:ascii="Verdana" w:hAnsi="Verdana"/>
        </w:rPr>
      </w:pPr>
      <w:r>
        <w:rPr>
          <w:rFonts w:ascii="Verdana" w:hAnsi="Verdana"/>
        </w:rPr>
        <w:lastRenderedPageBreak/>
        <w:t>Operational employees who</w:t>
      </w:r>
      <w:r w:rsidR="00380B7A">
        <w:rPr>
          <w:rFonts w:ascii="Verdana" w:hAnsi="Verdana"/>
        </w:rPr>
        <w:t xml:space="preserve"> volunteered to drive ambulances for SCAS </w:t>
      </w:r>
      <w:r w:rsidR="00043860">
        <w:rPr>
          <w:rFonts w:ascii="Verdana" w:hAnsi="Verdana"/>
        </w:rPr>
        <w:t xml:space="preserve">were released from their fire service duties for a period of </w:t>
      </w:r>
      <w:r w:rsidR="00594EEB">
        <w:rPr>
          <w:rFonts w:ascii="Verdana" w:hAnsi="Verdana"/>
        </w:rPr>
        <w:t xml:space="preserve">up to </w:t>
      </w:r>
      <w:r w:rsidR="00043860">
        <w:rPr>
          <w:rFonts w:ascii="Verdana" w:hAnsi="Verdana"/>
        </w:rPr>
        <w:t xml:space="preserve">six weeks </w:t>
      </w:r>
      <w:r w:rsidR="003F6ED7">
        <w:rPr>
          <w:rFonts w:ascii="Verdana" w:hAnsi="Verdana"/>
        </w:rPr>
        <w:t xml:space="preserve">following training. At the end of the </w:t>
      </w:r>
      <w:r w:rsidR="00066F57">
        <w:rPr>
          <w:rFonts w:ascii="Verdana" w:hAnsi="Verdana"/>
        </w:rPr>
        <w:t>detachment,</w:t>
      </w:r>
      <w:r w:rsidR="003F6ED7">
        <w:rPr>
          <w:rFonts w:ascii="Verdana" w:hAnsi="Verdana"/>
        </w:rPr>
        <w:t xml:space="preserve"> they were required to take </w:t>
      </w:r>
      <w:r w:rsidR="00E17FFB">
        <w:rPr>
          <w:rFonts w:ascii="Verdana" w:hAnsi="Verdana"/>
        </w:rPr>
        <w:t xml:space="preserve">a COVID-19 test </w:t>
      </w:r>
      <w:r w:rsidR="00F52234">
        <w:rPr>
          <w:rFonts w:ascii="Verdana" w:hAnsi="Verdana"/>
        </w:rPr>
        <w:t xml:space="preserve">with a negative result </w:t>
      </w:r>
      <w:r w:rsidR="00E17FFB">
        <w:rPr>
          <w:rFonts w:ascii="Verdana" w:hAnsi="Verdana"/>
        </w:rPr>
        <w:t>and given 72 hours rest before recommencing their fire service role.</w:t>
      </w:r>
      <w:r w:rsidR="00F52234">
        <w:rPr>
          <w:rFonts w:ascii="Verdana" w:hAnsi="Verdana"/>
        </w:rPr>
        <w:t xml:space="preserve"> Whilst the detachments have </w:t>
      </w:r>
      <w:r w:rsidR="00594EEB">
        <w:rPr>
          <w:rFonts w:ascii="Verdana" w:hAnsi="Verdana"/>
        </w:rPr>
        <w:t>now paused</w:t>
      </w:r>
      <w:r w:rsidR="00F52234">
        <w:rPr>
          <w:rFonts w:ascii="Verdana" w:hAnsi="Verdana"/>
        </w:rPr>
        <w:t xml:space="preserve"> the volunteers </w:t>
      </w:r>
      <w:r w:rsidR="00F0444A">
        <w:rPr>
          <w:rFonts w:ascii="Verdana" w:hAnsi="Verdana"/>
        </w:rPr>
        <w:t xml:space="preserve">are ensuring their skills are regularly refreshed so that they are able to assist in the future if </w:t>
      </w:r>
      <w:r w:rsidR="00066F57">
        <w:rPr>
          <w:rFonts w:ascii="Verdana" w:hAnsi="Verdana"/>
        </w:rPr>
        <w:t>SCAS become overwhelmed.</w:t>
      </w:r>
      <w:r w:rsidR="00594EEB">
        <w:rPr>
          <w:rFonts w:ascii="Verdana" w:hAnsi="Verdana"/>
        </w:rPr>
        <w:t xml:space="preserve"> This is an area of activity that the Service led on and coordinated across the Thames Valley, </w:t>
      </w:r>
      <w:proofErr w:type="gramStart"/>
      <w:r w:rsidR="00594EEB">
        <w:rPr>
          <w:rFonts w:ascii="Verdana" w:hAnsi="Verdana"/>
        </w:rPr>
        <w:t>Hampshire</w:t>
      </w:r>
      <w:proofErr w:type="gramEnd"/>
      <w:r w:rsidR="00594EEB">
        <w:rPr>
          <w:rFonts w:ascii="Verdana" w:hAnsi="Verdana"/>
        </w:rPr>
        <w:t xml:space="preserve"> and the Isle of Wight. </w:t>
      </w:r>
    </w:p>
    <w:p w14:paraId="6AB849C2" w14:textId="25AA5009" w:rsidR="004725A4" w:rsidRDefault="005B74AB" w:rsidP="00D4342C">
      <w:pPr>
        <w:rPr>
          <w:rFonts w:ascii="Verdana" w:hAnsi="Verdana"/>
        </w:rPr>
      </w:pPr>
      <w:r>
        <w:rPr>
          <w:rFonts w:ascii="Verdana" w:hAnsi="Verdana"/>
        </w:rPr>
        <w:t xml:space="preserve">The NFCC </w:t>
      </w:r>
      <w:r w:rsidR="008B6737">
        <w:rPr>
          <w:rFonts w:ascii="Verdana" w:hAnsi="Verdana"/>
        </w:rPr>
        <w:t>produced a suite of ‘</w:t>
      </w:r>
      <w:r w:rsidR="00B773C5">
        <w:rPr>
          <w:rFonts w:ascii="Verdana" w:hAnsi="Verdana"/>
        </w:rPr>
        <w:t>Working</w:t>
      </w:r>
      <w:r w:rsidR="008B6737">
        <w:rPr>
          <w:rFonts w:ascii="Verdana" w:hAnsi="Verdana"/>
        </w:rPr>
        <w:t xml:space="preserve"> safely with COVID-1</w:t>
      </w:r>
      <w:r w:rsidR="00B773C5">
        <w:rPr>
          <w:rFonts w:ascii="Verdana" w:hAnsi="Verdana"/>
        </w:rPr>
        <w:t>9’</w:t>
      </w:r>
      <w:r w:rsidR="008B6737">
        <w:rPr>
          <w:rFonts w:ascii="Verdana" w:hAnsi="Verdana"/>
        </w:rPr>
        <w:t xml:space="preserve"> </w:t>
      </w:r>
      <w:r w:rsidR="00AC1D6A">
        <w:rPr>
          <w:rFonts w:ascii="Verdana" w:hAnsi="Verdana"/>
        </w:rPr>
        <w:t xml:space="preserve">risk assessments for these activities which the health and safety team localised to fit the Service’s </w:t>
      </w:r>
      <w:r w:rsidR="00B773C5">
        <w:rPr>
          <w:rFonts w:ascii="Verdana" w:hAnsi="Verdana"/>
        </w:rPr>
        <w:t>needs.</w:t>
      </w:r>
    </w:p>
    <w:p w14:paraId="11CD2E6E" w14:textId="3AA74633" w:rsidR="004778FC" w:rsidRDefault="003B127F" w:rsidP="00D4342C">
      <w:pPr>
        <w:rPr>
          <w:rFonts w:ascii="Verdana" w:hAnsi="Verdana"/>
        </w:rPr>
      </w:pPr>
      <w:r>
        <w:rPr>
          <w:rFonts w:ascii="Verdana" w:hAnsi="Verdana"/>
        </w:rPr>
        <w:t>From the 1 April 2020 to 31 March 2021 there have been 38 cases of COVID-19</w:t>
      </w:r>
      <w:r w:rsidR="00C31124">
        <w:rPr>
          <w:rFonts w:ascii="Verdana" w:hAnsi="Verdana"/>
        </w:rPr>
        <w:t>,</w:t>
      </w:r>
      <w:r>
        <w:rPr>
          <w:rFonts w:ascii="Verdana" w:hAnsi="Verdana"/>
        </w:rPr>
        <w:t xml:space="preserve"> which includes </w:t>
      </w:r>
      <w:r w:rsidR="00A67D1A">
        <w:rPr>
          <w:rFonts w:ascii="Verdana" w:hAnsi="Verdana"/>
        </w:rPr>
        <w:t xml:space="preserve">four cases of long </w:t>
      </w:r>
      <w:r w:rsidR="00B70553">
        <w:rPr>
          <w:rFonts w:ascii="Verdana" w:hAnsi="Verdana"/>
        </w:rPr>
        <w:t>COVID</w:t>
      </w:r>
      <w:r w:rsidR="00C31124">
        <w:rPr>
          <w:rFonts w:ascii="Verdana" w:hAnsi="Verdana"/>
        </w:rPr>
        <w:t>,</w:t>
      </w:r>
      <w:r w:rsidR="00A67D1A">
        <w:rPr>
          <w:rFonts w:ascii="Verdana" w:hAnsi="Verdana"/>
        </w:rPr>
        <w:t xml:space="preserve"> in Service.</w:t>
      </w:r>
      <w:r w:rsidR="004B5ED5">
        <w:rPr>
          <w:rFonts w:ascii="Verdana" w:hAnsi="Verdana"/>
        </w:rPr>
        <w:t xml:space="preserve"> An excellent achievement</w:t>
      </w:r>
      <w:r w:rsidR="009A006C">
        <w:rPr>
          <w:rFonts w:ascii="Verdana" w:hAnsi="Verdana"/>
        </w:rPr>
        <w:t>!</w:t>
      </w:r>
      <w:r w:rsidR="00A67D1A">
        <w:rPr>
          <w:rFonts w:ascii="Verdana" w:hAnsi="Verdana"/>
        </w:rPr>
        <w:t xml:space="preserve"> This is testament to the diligence and commitment by all employees </w:t>
      </w:r>
      <w:r w:rsidR="004B5ED5">
        <w:rPr>
          <w:rFonts w:ascii="Verdana" w:hAnsi="Verdana"/>
        </w:rPr>
        <w:t>and contractors to adhere to the COVID Secure measures in place.</w:t>
      </w:r>
    </w:p>
    <w:p w14:paraId="6C1478A7" w14:textId="77777777" w:rsidR="00DE7655" w:rsidRDefault="00DE7655" w:rsidP="00D4342C">
      <w:pPr>
        <w:rPr>
          <w:rFonts w:ascii="Verdana" w:hAnsi="Verdana"/>
          <w:sz w:val="44"/>
          <w:szCs w:val="44"/>
        </w:rPr>
      </w:pPr>
    </w:p>
    <w:p w14:paraId="1C2B1298" w14:textId="77777777" w:rsidR="00DE7655" w:rsidRDefault="00DE7655" w:rsidP="00D4342C">
      <w:pPr>
        <w:rPr>
          <w:rFonts w:ascii="Verdana" w:hAnsi="Verdana"/>
          <w:sz w:val="44"/>
          <w:szCs w:val="44"/>
        </w:rPr>
      </w:pPr>
    </w:p>
    <w:p w14:paraId="146A0505" w14:textId="77777777" w:rsidR="00DE7655" w:rsidRDefault="00DE7655" w:rsidP="00D4342C">
      <w:pPr>
        <w:rPr>
          <w:rFonts w:ascii="Verdana" w:hAnsi="Verdana"/>
          <w:sz w:val="44"/>
          <w:szCs w:val="44"/>
        </w:rPr>
      </w:pPr>
    </w:p>
    <w:p w14:paraId="758BA7F5" w14:textId="77777777" w:rsidR="00DE7655" w:rsidRDefault="00DE7655" w:rsidP="00D4342C">
      <w:pPr>
        <w:rPr>
          <w:rFonts w:ascii="Verdana" w:hAnsi="Verdana"/>
          <w:sz w:val="44"/>
          <w:szCs w:val="44"/>
        </w:rPr>
      </w:pPr>
    </w:p>
    <w:p w14:paraId="5C44F14E" w14:textId="77777777" w:rsidR="00DE7655" w:rsidRDefault="00DE7655" w:rsidP="00D4342C">
      <w:pPr>
        <w:rPr>
          <w:rFonts w:ascii="Verdana" w:hAnsi="Verdana"/>
          <w:sz w:val="44"/>
          <w:szCs w:val="44"/>
        </w:rPr>
      </w:pPr>
    </w:p>
    <w:p w14:paraId="41D7E4DE" w14:textId="77777777" w:rsidR="00DE7655" w:rsidRDefault="00DE7655" w:rsidP="00D4342C">
      <w:pPr>
        <w:rPr>
          <w:rFonts w:ascii="Verdana" w:hAnsi="Verdana"/>
          <w:sz w:val="44"/>
          <w:szCs w:val="44"/>
        </w:rPr>
      </w:pPr>
    </w:p>
    <w:p w14:paraId="06E2434D" w14:textId="77777777" w:rsidR="00DE7655" w:rsidRDefault="00DE7655" w:rsidP="00D4342C">
      <w:pPr>
        <w:rPr>
          <w:rFonts w:ascii="Verdana" w:hAnsi="Verdana"/>
          <w:sz w:val="44"/>
          <w:szCs w:val="44"/>
        </w:rPr>
      </w:pPr>
    </w:p>
    <w:p w14:paraId="09DFBFF1" w14:textId="77777777" w:rsidR="003F0555" w:rsidRDefault="003F0555" w:rsidP="00D4342C">
      <w:pPr>
        <w:rPr>
          <w:rFonts w:ascii="Verdana" w:hAnsi="Verdana"/>
          <w:sz w:val="44"/>
          <w:szCs w:val="44"/>
        </w:rPr>
      </w:pPr>
    </w:p>
    <w:p w14:paraId="70D3FDD7" w14:textId="77777777" w:rsidR="00150881" w:rsidRDefault="00150881" w:rsidP="00D4342C">
      <w:pPr>
        <w:rPr>
          <w:rFonts w:ascii="Verdana" w:hAnsi="Verdana"/>
          <w:sz w:val="44"/>
          <w:szCs w:val="44"/>
        </w:rPr>
      </w:pPr>
    </w:p>
    <w:p w14:paraId="088A0E0F" w14:textId="77777777" w:rsidR="00150881" w:rsidRDefault="00150881" w:rsidP="00D4342C">
      <w:pPr>
        <w:rPr>
          <w:rFonts w:ascii="Verdana" w:hAnsi="Verdana"/>
          <w:sz w:val="44"/>
          <w:szCs w:val="44"/>
        </w:rPr>
      </w:pPr>
    </w:p>
    <w:p w14:paraId="1831183A" w14:textId="0FBE09C9" w:rsidR="0044505E" w:rsidRPr="004725A4" w:rsidRDefault="005B07DF" w:rsidP="00D4342C">
      <w:pPr>
        <w:rPr>
          <w:rFonts w:ascii="Verdana" w:hAnsi="Verdana"/>
        </w:rPr>
      </w:pPr>
      <w:r w:rsidRPr="00E73623">
        <w:rPr>
          <w:rFonts w:ascii="Verdana" w:hAnsi="Verdana"/>
          <w:sz w:val="44"/>
          <w:szCs w:val="44"/>
        </w:rPr>
        <w:lastRenderedPageBreak/>
        <w:t xml:space="preserve">Our </w:t>
      </w:r>
      <w:r w:rsidR="00DE3DDC" w:rsidRPr="00E73623">
        <w:rPr>
          <w:rFonts w:ascii="Verdana" w:hAnsi="Verdana"/>
          <w:sz w:val="44"/>
          <w:szCs w:val="44"/>
        </w:rPr>
        <w:t xml:space="preserve">performance </w:t>
      </w:r>
      <w:proofErr w:type="gramStart"/>
      <w:r w:rsidR="00DE3DDC" w:rsidRPr="00E73623">
        <w:rPr>
          <w:rFonts w:ascii="Verdana" w:hAnsi="Verdana"/>
          <w:sz w:val="44"/>
          <w:szCs w:val="44"/>
        </w:rPr>
        <w:t>at a glance</w:t>
      </w:r>
      <w:proofErr w:type="gramEnd"/>
    </w:p>
    <w:p w14:paraId="2E7B2012" w14:textId="7A7E0398" w:rsidR="00E31ECA" w:rsidRDefault="00BC59A5" w:rsidP="00D4342C">
      <w:pPr>
        <w:rPr>
          <w:rFonts w:ascii="Verdana" w:hAnsi="Verdana"/>
          <w:sz w:val="44"/>
          <w:szCs w:val="44"/>
        </w:rPr>
      </w:pPr>
      <w:r>
        <w:rPr>
          <w:noProof/>
        </w:rPr>
        <w:drawing>
          <wp:inline distT="0" distB="0" distL="0" distR="0" wp14:anchorId="4F5CCC23" wp14:editId="77579E02">
            <wp:extent cx="5731510" cy="8106410"/>
            <wp:effectExtent l="0" t="0" r="2540" b="889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106410"/>
                    </a:xfrm>
                    <a:prstGeom prst="rect">
                      <a:avLst/>
                    </a:prstGeom>
                    <a:noFill/>
                    <a:ln>
                      <a:noFill/>
                    </a:ln>
                  </pic:spPr>
                </pic:pic>
              </a:graphicData>
            </a:graphic>
          </wp:inline>
        </w:drawing>
      </w:r>
    </w:p>
    <w:p w14:paraId="448A1274" w14:textId="64DF524C" w:rsidR="00D4342C" w:rsidRPr="00D525A9" w:rsidRDefault="00D4342C" w:rsidP="00D4342C">
      <w:pPr>
        <w:rPr>
          <w:rFonts w:ascii="Verdana" w:hAnsi="Verdana"/>
        </w:rPr>
      </w:pPr>
      <w:r w:rsidRPr="0071051D">
        <w:rPr>
          <w:rFonts w:ascii="Verdana" w:hAnsi="Verdana"/>
          <w:sz w:val="44"/>
          <w:szCs w:val="44"/>
        </w:rPr>
        <w:lastRenderedPageBreak/>
        <w:t>Performance overview</w:t>
      </w:r>
    </w:p>
    <w:p w14:paraId="7CBF9634" w14:textId="5CF23742" w:rsidR="007B16A9" w:rsidRDefault="00EE0808" w:rsidP="00EE0808">
      <w:pPr>
        <w:rPr>
          <w:rFonts w:ascii="Verdana" w:hAnsi="Verdana"/>
        </w:rPr>
      </w:pPr>
      <w:r w:rsidRPr="00F70023">
        <w:rPr>
          <w:rFonts w:ascii="Verdana" w:hAnsi="Verdana"/>
        </w:rPr>
        <w:t>In 2020/21 the number of incidents attended was 8,161 and the number of mobilisations was 8,738.</w:t>
      </w:r>
      <w:r w:rsidRPr="006B1015">
        <w:rPr>
          <w:rFonts w:ascii="Verdana" w:hAnsi="Verdana"/>
        </w:rPr>
        <w:t xml:space="preserve"> These figures do not include co-responding incidents or officer mobilisations. </w:t>
      </w:r>
    </w:p>
    <w:p w14:paraId="661E78AB" w14:textId="2AAAC785" w:rsidR="00EE0808" w:rsidRDefault="00EE0808" w:rsidP="00EE0808">
      <w:pPr>
        <w:rPr>
          <w:rFonts w:ascii="Verdana" w:hAnsi="Verdana"/>
        </w:rPr>
      </w:pPr>
      <w:r w:rsidRPr="006B1015">
        <w:rPr>
          <w:rFonts w:ascii="Verdana" w:hAnsi="Verdana"/>
        </w:rPr>
        <w:t xml:space="preserve">Overall, there have been reductions in </w:t>
      </w:r>
      <w:r w:rsidR="00BE4294">
        <w:rPr>
          <w:rFonts w:ascii="Verdana" w:hAnsi="Verdana"/>
        </w:rPr>
        <w:t xml:space="preserve">five of the </w:t>
      </w:r>
      <w:r w:rsidR="00BC5D0D">
        <w:rPr>
          <w:rFonts w:ascii="Verdana" w:hAnsi="Verdana"/>
        </w:rPr>
        <w:t>seven categories which is a considerable improvement in performance compared to last year. P</w:t>
      </w:r>
      <w:r w:rsidRPr="006B1015">
        <w:rPr>
          <w:rFonts w:ascii="Verdana" w:hAnsi="Verdana"/>
        </w:rPr>
        <w:t>ersonal injury</w:t>
      </w:r>
      <w:r w:rsidR="00BC5D0D">
        <w:rPr>
          <w:rFonts w:ascii="Verdana" w:hAnsi="Verdana"/>
        </w:rPr>
        <w:t>,</w:t>
      </w:r>
      <w:r w:rsidRPr="006B1015">
        <w:rPr>
          <w:rFonts w:ascii="Verdana" w:hAnsi="Verdana"/>
        </w:rPr>
        <w:t xml:space="preserve"> </w:t>
      </w:r>
      <w:r w:rsidR="0051393B">
        <w:rPr>
          <w:rFonts w:ascii="Verdana" w:hAnsi="Verdana"/>
        </w:rPr>
        <w:t>vehicle</w:t>
      </w:r>
      <w:r w:rsidRPr="006B1015">
        <w:rPr>
          <w:rFonts w:ascii="Verdana" w:hAnsi="Verdana"/>
        </w:rPr>
        <w:t xml:space="preserve"> safety events</w:t>
      </w:r>
      <w:r w:rsidR="007821B8">
        <w:rPr>
          <w:rFonts w:ascii="Verdana" w:hAnsi="Verdana"/>
        </w:rPr>
        <w:t>, acts of violence</w:t>
      </w:r>
      <w:r w:rsidR="00A35DA8">
        <w:rPr>
          <w:rFonts w:ascii="Verdana" w:hAnsi="Verdana"/>
        </w:rPr>
        <w:t xml:space="preserve"> </w:t>
      </w:r>
      <w:r w:rsidR="007821B8">
        <w:rPr>
          <w:rFonts w:ascii="Verdana" w:hAnsi="Verdana"/>
        </w:rPr>
        <w:t xml:space="preserve">and </w:t>
      </w:r>
      <w:r w:rsidR="0038712B">
        <w:rPr>
          <w:rFonts w:ascii="Verdana" w:hAnsi="Verdana"/>
        </w:rPr>
        <w:t>the number of events that come under the Reporting of Injuries, Diseases and Dangerous Occurrences Regulations (RIDDOR)</w:t>
      </w:r>
      <w:r w:rsidR="007821B8">
        <w:rPr>
          <w:rFonts w:ascii="Verdana" w:hAnsi="Verdana"/>
        </w:rPr>
        <w:t xml:space="preserve"> have all </w:t>
      </w:r>
      <w:r w:rsidR="00826831">
        <w:rPr>
          <w:rFonts w:ascii="Verdana" w:hAnsi="Verdana"/>
        </w:rPr>
        <w:t>decreased</w:t>
      </w:r>
      <w:r w:rsidR="000F6DF0">
        <w:rPr>
          <w:rFonts w:ascii="Verdana" w:hAnsi="Verdana"/>
        </w:rPr>
        <w:t>. The</w:t>
      </w:r>
      <w:r w:rsidR="00826831">
        <w:rPr>
          <w:rFonts w:ascii="Verdana" w:hAnsi="Verdana"/>
        </w:rPr>
        <w:t>re</w:t>
      </w:r>
      <w:r w:rsidR="0051393B">
        <w:rPr>
          <w:rFonts w:ascii="Verdana" w:hAnsi="Verdana"/>
        </w:rPr>
        <w:t xml:space="preserve"> has been an increase in the number of equipment dama</w:t>
      </w:r>
      <w:r w:rsidR="00A72EC8">
        <w:rPr>
          <w:rFonts w:ascii="Verdana" w:hAnsi="Verdana"/>
        </w:rPr>
        <w:t>ge safety events</w:t>
      </w:r>
      <w:r w:rsidR="001776AE">
        <w:rPr>
          <w:rFonts w:ascii="Verdana" w:hAnsi="Verdana"/>
        </w:rPr>
        <w:t xml:space="preserve"> as detailed in “</w:t>
      </w:r>
      <w:r w:rsidR="001776AE" w:rsidRPr="001776AE">
        <w:rPr>
          <w:rFonts w:ascii="Verdana" w:hAnsi="Verdana"/>
          <w:i/>
          <w:iCs/>
        </w:rPr>
        <w:t>Our performance at a glance”</w:t>
      </w:r>
      <w:r w:rsidR="001776AE">
        <w:rPr>
          <w:rFonts w:ascii="Verdana" w:hAnsi="Verdana"/>
        </w:rPr>
        <w:t xml:space="preserve"> graph above.</w:t>
      </w:r>
      <w:r w:rsidRPr="006B1015">
        <w:rPr>
          <w:rFonts w:ascii="Verdana" w:hAnsi="Verdana"/>
        </w:rPr>
        <w:t xml:space="preserve"> The number of ‘near</w:t>
      </w:r>
      <w:r>
        <w:rPr>
          <w:rFonts w:ascii="Verdana" w:hAnsi="Verdana"/>
        </w:rPr>
        <w:t>-</w:t>
      </w:r>
      <w:proofErr w:type="spellStart"/>
      <w:r w:rsidRPr="006B1015">
        <w:rPr>
          <w:rFonts w:ascii="Verdana" w:hAnsi="Verdana"/>
        </w:rPr>
        <w:t>miss’</w:t>
      </w:r>
      <w:proofErr w:type="spellEnd"/>
      <w:r w:rsidRPr="006B1015">
        <w:rPr>
          <w:rFonts w:ascii="Verdana" w:hAnsi="Verdana"/>
        </w:rPr>
        <w:t xml:space="preserve"> reports has decreased this year from </w:t>
      </w:r>
      <w:r w:rsidRPr="00E67B72">
        <w:rPr>
          <w:rFonts w:ascii="Verdana" w:hAnsi="Verdana"/>
        </w:rPr>
        <w:t xml:space="preserve">39 to </w:t>
      </w:r>
      <w:r>
        <w:rPr>
          <w:rFonts w:ascii="Verdana" w:hAnsi="Verdana"/>
        </w:rPr>
        <w:t>33</w:t>
      </w:r>
      <w:r w:rsidRPr="006B1015">
        <w:rPr>
          <w:rFonts w:ascii="Verdana" w:hAnsi="Verdana"/>
        </w:rPr>
        <w:t>. An overview of the figures is provided below.</w:t>
      </w:r>
    </w:p>
    <w:p w14:paraId="3A082EF5" w14:textId="130C912A" w:rsidR="00EE0808" w:rsidRPr="00983B66" w:rsidRDefault="00EE0808" w:rsidP="00EE0808">
      <w:pPr>
        <w:rPr>
          <w:rFonts w:ascii="Verdana" w:hAnsi="Verdana"/>
        </w:rPr>
      </w:pPr>
      <w:r w:rsidRPr="00BE4A43">
        <w:rPr>
          <w:rFonts w:ascii="Verdana" w:hAnsi="Verdana"/>
          <w:b/>
        </w:rPr>
        <w:t>Personal injury</w:t>
      </w:r>
      <w:r w:rsidRPr="00BE4A43">
        <w:rPr>
          <w:rFonts w:ascii="Verdana" w:hAnsi="Verdana"/>
        </w:rPr>
        <w:t xml:space="preserve">: </w:t>
      </w:r>
      <w:r w:rsidRPr="00B12903">
        <w:rPr>
          <w:rFonts w:ascii="Verdana" w:hAnsi="Verdana"/>
        </w:rPr>
        <w:t xml:space="preserve">The </w:t>
      </w:r>
      <w:r w:rsidRPr="00B12903">
        <w:rPr>
          <w:rFonts w:ascii="Verdana" w:hAnsi="Verdana"/>
          <w:i/>
        </w:rPr>
        <w:t>injury rate</w:t>
      </w:r>
      <w:r w:rsidRPr="00B12903">
        <w:rPr>
          <w:rFonts w:ascii="Verdana" w:hAnsi="Verdana"/>
        </w:rPr>
        <w:t xml:space="preserve"> is determined by calculating the number of </w:t>
      </w:r>
      <w:r w:rsidR="00B37C1B">
        <w:rPr>
          <w:rFonts w:ascii="Verdana" w:hAnsi="Verdana"/>
        </w:rPr>
        <w:t>incidents</w:t>
      </w:r>
      <w:r w:rsidRPr="00B12903">
        <w:rPr>
          <w:rFonts w:ascii="Verdana" w:hAnsi="Verdana"/>
        </w:rPr>
        <w:t xml:space="preserve"> reported; divided by the number of employees and multiplied by 100,000 as set out by the HSE. For the year 2020/21 the </w:t>
      </w:r>
      <w:r w:rsidRPr="00B12903">
        <w:rPr>
          <w:rFonts w:ascii="Verdana" w:hAnsi="Verdana"/>
          <w:i/>
        </w:rPr>
        <w:t>injury rate</w:t>
      </w:r>
      <w:r w:rsidRPr="00B12903">
        <w:rPr>
          <w:rFonts w:ascii="Verdana" w:hAnsi="Verdana"/>
        </w:rPr>
        <w:t xml:space="preserve"> is 89.0 per 1000 employees compared to 94.2 in 2019/20 which is a slight reduction.</w:t>
      </w:r>
      <w:r>
        <w:rPr>
          <w:rFonts w:ascii="Verdana" w:hAnsi="Verdana"/>
        </w:rPr>
        <w:t xml:space="preserve"> In terms of the actual numbers of personal injury safety events, there has been a decrease from 44 in 2019/20 to 43 in 2020/21.</w:t>
      </w:r>
      <w:r w:rsidRPr="00983B66">
        <w:rPr>
          <w:rFonts w:ascii="Verdana" w:hAnsi="Verdana"/>
        </w:rPr>
        <w:t xml:space="preserve"> </w:t>
      </w:r>
    </w:p>
    <w:p w14:paraId="66FE49FD" w14:textId="77777777" w:rsidR="00EE0808" w:rsidRDefault="00EE0808" w:rsidP="00EE0808">
      <w:pPr>
        <w:rPr>
          <w:rFonts w:ascii="Verdana" w:hAnsi="Verdana"/>
        </w:rPr>
      </w:pPr>
      <w:r>
        <w:rPr>
          <w:rFonts w:ascii="Verdana" w:hAnsi="Verdana"/>
        </w:rPr>
        <w:t>The severity of a safety event is determined by multiplying the ‘likelihood’ of the safety event occurring again by the ‘severity’ of the injury sustained. The resulting figure is known as the risk factor score:</w:t>
      </w:r>
    </w:p>
    <w:p w14:paraId="446958B5" w14:textId="77777777" w:rsidR="00EE0808" w:rsidRDefault="00EE0808" w:rsidP="00EE0808">
      <w:pPr>
        <w:pStyle w:val="ListParagraph"/>
        <w:numPr>
          <w:ilvl w:val="0"/>
          <w:numId w:val="16"/>
        </w:numPr>
        <w:rPr>
          <w:rFonts w:ascii="Verdana" w:hAnsi="Verdana"/>
        </w:rPr>
      </w:pPr>
      <w:r w:rsidRPr="009C4908">
        <w:rPr>
          <w:rFonts w:ascii="Verdana" w:hAnsi="Verdana"/>
        </w:rPr>
        <w:t xml:space="preserve">1 to 5 is deemed a minor event </w:t>
      </w:r>
    </w:p>
    <w:p w14:paraId="187D03E1" w14:textId="77777777" w:rsidR="00EE0808" w:rsidRPr="00B709DC" w:rsidRDefault="00EE0808" w:rsidP="00EE0808">
      <w:pPr>
        <w:pStyle w:val="ListParagraph"/>
        <w:numPr>
          <w:ilvl w:val="0"/>
          <w:numId w:val="16"/>
        </w:numPr>
        <w:rPr>
          <w:rFonts w:ascii="Verdana" w:hAnsi="Verdana"/>
        </w:rPr>
      </w:pPr>
      <w:r w:rsidRPr="00B709DC">
        <w:rPr>
          <w:rFonts w:ascii="Verdana" w:hAnsi="Verdana"/>
        </w:rPr>
        <w:t xml:space="preserve">6 to 12 is moderate </w:t>
      </w:r>
      <w:r>
        <w:rPr>
          <w:rFonts w:ascii="Verdana" w:hAnsi="Verdana"/>
        </w:rPr>
        <w:t>and</w:t>
      </w:r>
    </w:p>
    <w:p w14:paraId="0F0A8657" w14:textId="77777777" w:rsidR="00EE0808" w:rsidRPr="00B709DC" w:rsidRDefault="00EE0808" w:rsidP="00EE0808">
      <w:pPr>
        <w:pStyle w:val="ListParagraph"/>
        <w:numPr>
          <w:ilvl w:val="0"/>
          <w:numId w:val="16"/>
        </w:numPr>
        <w:rPr>
          <w:rFonts w:ascii="Verdana" w:hAnsi="Verdana"/>
        </w:rPr>
      </w:pPr>
      <w:r w:rsidRPr="00B709DC">
        <w:rPr>
          <w:rFonts w:ascii="Verdana" w:hAnsi="Verdana"/>
        </w:rPr>
        <w:t xml:space="preserve">15 to 25 </w:t>
      </w:r>
      <w:r>
        <w:rPr>
          <w:rFonts w:ascii="Verdana" w:hAnsi="Verdana"/>
        </w:rPr>
        <w:t xml:space="preserve">is a </w:t>
      </w:r>
      <w:r w:rsidRPr="00B709DC">
        <w:rPr>
          <w:rFonts w:ascii="Verdana" w:hAnsi="Verdana"/>
        </w:rPr>
        <w:t xml:space="preserve">major </w:t>
      </w:r>
      <w:r>
        <w:rPr>
          <w:rFonts w:ascii="Verdana" w:hAnsi="Verdana"/>
        </w:rPr>
        <w:t>event</w:t>
      </w:r>
    </w:p>
    <w:p w14:paraId="21D0628B" w14:textId="77777777" w:rsidR="00EE0808" w:rsidRPr="009C4908" w:rsidRDefault="00EE0808" w:rsidP="00EE0808">
      <w:pPr>
        <w:rPr>
          <w:rFonts w:ascii="Verdana" w:hAnsi="Verdana"/>
        </w:rPr>
      </w:pPr>
      <w:r w:rsidRPr="009C4908">
        <w:rPr>
          <w:rFonts w:ascii="Verdana" w:hAnsi="Verdana"/>
        </w:rPr>
        <w:t xml:space="preserve">Of the </w:t>
      </w:r>
      <w:r>
        <w:rPr>
          <w:rFonts w:ascii="Verdana" w:hAnsi="Verdana"/>
        </w:rPr>
        <w:t>43</w:t>
      </w:r>
      <w:r w:rsidRPr="009C4908">
        <w:rPr>
          <w:rFonts w:ascii="Verdana" w:hAnsi="Verdana"/>
        </w:rPr>
        <w:t xml:space="preserve"> personal injury safety events, </w:t>
      </w:r>
      <w:r>
        <w:rPr>
          <w:rFonts w:ascii="Verdana" w:hAnsi="Verdana"/>
        </w:rPr>
        <w:t>29</w:t>
      </w:r>
      <w:r w:rsidRPr="005B4B12">
        <w:rPr>
          <w:rFonts w:ascii="Verdana" w:hAnsi="Verdana"/>
        </w:rPr>
        <w:t xml:space="preserve"> have been recorded as minor in nature and </w:t>
      </w:r>
      <w:r>
        <w:rPr>
          <w:rFonts w:ascii="Verdana" w:hAnsi="Verdana"/>
        </w:rPr>
        <w:t>14</w:t>
      </w:r>
      <w:r w:rsidRPr="005B4B12">
        <w:rPr>
          <w:rFonts w:ascii="Verdana" w:hAnsi="Verdana"/>
        </w:rPr>
        <w:t xml:space="preserve"> as moderate.</w:t>
      </w:r>
      <w:r w:rsidRPr="009C4908">
        <w:rPr>
          <w:rFonts w:ascii="Verdana" w:hAnsi="Verdana"/>
        </w:rPr>
        <w:t xml:space="preserve"> </w:t>
      </w:r>
    </w:p>
    <w:p w14:paraId="5261250B" w14:textId="77777777" w:rsidR="00EE0808" w:rsidRPr="004F4E93" w:rsidRDefault="00EE0808" w:rsidP="00EE0808">
      <w:pPr>
        <w:rPr>
          <w:rFonts w:ascii="Verdana" w:hAnsi="Verdana"/>
        </w:rPr>
      </w:pPr>
      <w:r>
        <w:rPr>
          <w:rFonts w:ascii="Verdana" w:hAnsi="Verdana"/>
        </w:rPr>
        <w:t xml:space="preserve">Serious workplace injuries, occupational diseases and specified dangerous occurrences are reportable to the HSE under </w:t>
      </w:r>
      <w:r w:rsidRPr="00A73F35">
        <w:rPr>
          <w:rFonts w:ascii="Verdana" w:hAnsi="Verdana"/>
        </w:rPr>
        <w:t xml:space="preserve">RIDDOR. </w:t>
      </w:r>
    </w:p>
    <w:p w14:paraId="73D6F9D3" w14:textId="77777777" w:rsidR="00EE0808" w:rsidRPr="00A73F35" w:rsidRDefault="00EE0808" w:rsidP="00EE0808">
      <w:pPr>
        <w:rPr>
          <w:rFonts w:ascii="Verdana" w:hAnsi="Verdana"/>
          <w:highlight w:val="yellow"/>
        </w:rPr>
      </w:pPr>
      <w:r>
        <w:rPr>
          <w:rFonts w:ascii="Verdana" w:hAnsi="Verdana"/>
        </w:rPr>
        <w:t>T</w:t>
      </w:r>
      <w:r w:rsidRPr="007F6FA9">
        <w:rPr>
          <w:rFonts w:ascii="Verdana" w:hAnsi="Verdana"/>
        </w:rPr>
        <w:t>he</w:t>
      </w:r>
      <w:r>
        <w:rPr>
          <w:rFonts w:ascii="Verdana" w:hAnsi="Verdana"/>
        </w:rPr>
        <w:t xml:space="preserve"> number of RIDDOR reportable events for 2020/21 is six, one less than in 2019/20. Analysis of these events resulted in:</w:t>
      </w:r>
    </w:p>
    <w:p w14:paraId="193B03E6" w14:textId="7ADCEB8B" w:rsidR="00EE0808" w:rsidRPr="009E65AE" w:rsidRDefault="0025673F" w:rsidP="00EE0808">
      <w:pPr>
        <w:pStyle w:val="ListParagraph"/>
        <w:numPr>
          <w:ilvl w:val="0"/>
          <w:numId w:val="17"/>
        </w:numPr>
        <w:rPr>
          <w:rFonts w:ascii="Verdana" w:hAnsi="Verdana"/>
        </w:rPr>
      </w:pPr>
      <w:r>
        <w:rPr>
          <w:rFonts w:ascii="Verdana" w:hAnsi="Verdana"/>
        </w:rPr>
        <w:t>two</w:t>
      </w:r>
      <w:r w:rsidR="00EE0808" w:rsidRPr="009E65AE">
        <w:rPr>
          <w:rFonts w:ascii="Verdana" w:hAnsi="Verdana"/>
        </w:rPr>
        <w:t xml:space="preserve"> </w:t>
      </w:r>
      <w:r w:rsidR="00EE0808">
        <w:rPr>
          <w:rFonts w:ascii="Verdana" w:hAnsi="Verdana"/>
        </w:rPr>
        <w:t>dangerous occurrences</w:t>
      </w:r>
    </w:p>
    <w:p w14:paraId="081145EE" w14:textId="7771DD58" w:rsidR="00EE0808" w:rsidRPr="009E65AE" w:rsidRDefault="0025673F" w:rsidP="00EE0808">
      <w:pPr>
        <w:pStyle w:val="ListParagraph"/>
        <w:numPr>
          <w:ilvl w:val="0"/>
          <w:numId w:val="17"/>
        </w:numPr>
        <w:rPr>
          <w:rFonts w:ascii="Verdana" w:hAnsi="Verdana"/>
        </w:rPr>
      </w:pPr>
      <w:r>
        <w:rPr>
          <w:rFonts w:ascii="Verdana" w:hAnsi="Verdana"/>
        </w:rPr>
        <w:t>four</w:t>
      </w:r>
      <w:r w:rsidR="00EE0808" w:rsidRPr="009E65AE">
        <w:rPr>
          <w:rFonts w:ascii="Verdana" w:hAnsi="Verdana"/>
        </w:rPr>
        <w:t xml:space="preserve"> ‘over 7 </w:t>
      </w:r>
      <w:proofErr w:type="gramStart"/>
      <w:r w:rsidR="00EE0808" w:rsidRPr="009E65AE">
        <w:rPr>
          <w:rFonts w:ascii="Verdana" w:hAnsi="Verdana"/>
        </w:rPr>
        <w:t>day</w:t>
      </w:r>
      <w:proofErr w:type="gramEnd"/>
      <w:r w:rsidR="00EE0808" w:rsidRPr="009E65AE">
        <w:rPr>
          <w:rFonts w:ascii="Verdana" w:hAnsi="Verdana"/>
        </w:rPr>
        <w:t>’ sickness absence</w:t>
      </w:r>
      <w:r w:rsidR="00EE0808">
        <w:rPr>
          <w:rFonts w:ascii="Verdana" w:hAnsi="Verdana"/>
        </w:rPr>
        <w:t>s</w:t>
      </w:r>
      <w:r w:rsidR="00EE0808" w:rsidRPr="009E65AE">
        <w:rPr>
          <w:rFonts w:ascii="Verdana" w:hAnsi="Verdana"/>
        </w:rPr>
        <w:t xml:space="preserve">. </w:t>
      </w:r>
    </w:p>
    <w:p w14:paraId="19B477DB" w14:textId="77777777" w:rsidR="00EE0808" w:rsidRPr="000417D8" w:rsidRDefault="00EE0808" w:rsidP="00EE0808">
      <w:pPr>
        <w:rPr>
          <w:rFonts w:ascii="Verdana" w:hAnsi="Verdana"/>
        </w:rPr>
      </w:pPr>
      <w:r>
        <w:rPr>
          <w:rFonts w:ascii="Verdana" w:hAnsi="Verdana"/>
        </w:rPr>
        <w:t>Equipment damage safety events has seen a significant increase of 18 per cent, with 46 safety events compared to 39 in 2019/20. 38</w:t>
      </w:r>
      <w:r w:rsidRPr="00ED2DFD">
        <w:rPr>
          <w:rFonts w:ascii="Verdana" w:hAnsi="Verdana"/>
        </w:rPr>
        <w:t xml:space="preserve"> </w:t>
      </w:r>
      <w:r w:rsidRPr="00DF5EB7">
        <w:rPr>
          <w:rFonts w:ascii="Verdana" w:hAnsi="Verdana"/>
        </w:rPr>
        <w:t xml:space="preserve">of these were of a minor nature and </w:t>
      </w:r>
      <w:r>
        <w:rPr>
          <w:rFonts w:ascii="Verdana" w:hAnsi="Verdana"/>
        </w:rPr>
        <w:t>8</w:t>
      </w:r>
      <w:r w:rsidRPr="00DF5EB7">
        <w:rPr>
          <w:rFonts w:ascii="Verdana" w:hAnsi="Verdana"/>
        </w:rPr>
        <w:t xml:space="preserve"> were moderate. </w:t>
      </w:r>
      <w:r>
        <w:rPr>
          <w:rFonts w:ascii="Verdana" w:hAnsi="Verdana"/>
        </w:rPr>
        <w:t xml:space="preserve">Analysis carried out by the Health and Safety </w:t>
      </w:r>
      <w:r>
        <w:rPr>
          <w:rFonts w:ascii="Verdana" w:hAnsi="Verdana"/>
        </w:rPr>
        <w:lastRenderedPageBreak/>
        <w:t>department identified that t</w:t>
      </w:r>
      <w:r w:rsidRPr="000417D8">
        <w:rPr>
          <w:rFonts w:ascii="Verdana" w:hAnsi="Verdana"/>
        </w:rPr>
        <w:t xml:space="preserve">he moderate events </w:t>
      </w:r>
      <w:r>
        <w:rPr>
          <w:rFonts w:ascii="Verdana" w:hAnsi="Verdana"/>
        </w:rPr>
        <w:t xml:space="preserve">were isolated incidents with no trends highlighted from them. </w:t>
      </w:r>
    </w:p>
    <w:p w14:paraId="3B66CF78" w14:textId="55CB047E" w:rsidR="00EE0808" w:rsidRPr="00F75D28" w:rsidRDefault="00EE0808" w:rsidP="00EE0808">
      <w:pPr>
        <w:rPr>
          <w:rFonts w:ascii="Verdana" w:hAnsi="Verdana"/>
          <w:highlight w:val="yellow"/>
        </w:rPr>
      </w:pPr>
      <w:r w:rsidRPr="009A5B67">
        <w:rPr>
          <w:rFonts w:ascii="Verdana" w:hAnsi="Verdana"/>
        </w:rPr>
        <w:t>20</w:t>
      </w:r>
      <w:r>
        <w:rPr>
          <w:rFonts w:ascii="Verdana" w:hAnsi="Verdana"/>
        </w:rPr>
        <w:t>20/21</w:t>
      </w:r>
      <w:r w:rsidRPr="009A5B67">
        <w:rPr>
          <w:rFonts w:ascii="Verdana" w:hAnsi="Verdana"/>
        </w:rPr>
        <w:t xml:space="preserve"> has seen a significant </w:t>
      </w:r>
      <w:r>
        <w:rPr>
          <w:rFonts w:ascii="Verdana" w:hAnsi="Verdana"/>
        </w:rPr>
        <w:t>de</w:t>
      </w:r>
      <w:r w:rsidRPr="009A5B67">
        <w:rPr>
          <w:rFonts w:ascii="Verdana" w:hAnsi="Verdana"/>
        </w:rPr>
        <w:t xml:space="preserve">crease in the number of vehicle safety events with </w:t>
      </w:r>
      <w:r>
        <w:rPr>
          <w:rFonts w:ascii="Verdana" w:hAnsi="Verdana"/>
        </w:rPr>
        <w:t>38</w:t>
      </w:r>
      <w:r w:rsidRPr="009A5B67">
        <w:rPr>
          <w:rFonts w:ascii="Verdana" w:hAnsi="Verdana"/>
        </w:rPr>
        <w:t xml:space="preserve"> safety events compared to </w:t>
      </w:r>
      <w:r>
        <w:rPr>
          <w:rFonts w:ascii="Verdana" w:hAnsi="Verdana"/>
        </w:rPr>
        <w:t>55</w:t>
      </w:r>
      <w:r w:rsidRPr="009A5B67">
        <w:rPr>
          <w:rFonts w:ascii="Verdana" w:hAnsi="Verdana"/>
        </w:rPr>
        <w:t xml:space="preserve"> in 201</w:t>
      </w:r>
      <w:r>
        <w:rPr>
          <w:rFonts w:ascii="Verdana" w:hAnsi="Verdana"/>
        </w:rPr>
        <w:t>9</w:t>
      </w:r>
      <w:r w:rsidRPr="009A5B67">
        <w:rPr>
          <w:rFonts w:ascii="Verdana" w:hAnsi="Verdana"/>
        </w:rPr>
        <w:t>/</w:t>
      </w:r>
      <w:r>
        <w:rPr>
          <w:rFonts w:ascii="Verdana" w:hAnsi="Verdana"/>
        </w:rPr>
        <w:t>20</w:t>
      </w:r>
      <w:r w:rsidRPr="009A5B67">
        <w:rPr>
          <w:rFonts w:ascii="Verdana" w:hAnsi="Verdana"/>
        </w:rPr>
        <w:t xml:space="preserve">. </w:t>
      </w:r>
      <w:r>
        <w:rPr>
          <w:rFonts w:ascii="Verdana" w:hAnsi="Verdana"/>
        </w:rPr>
        <w:t>2</w:t>
      </w:r>
      <w:r w:rsidRPr="009A5B67">
        <w:rPr>
          <w:rFonts w:ascii="Verdana" w:hAnsi="Verdana"/>
        </w:rPr>
        <w:t>2 were of a minor nature and 1</w:t>
      </w:r>
      <w:r>
        <w:rPr>
          <w:rFonts w:ascii="Verdana" w:hAnsi="Verdana"/>
        </w:rPr>
        <w:t>6</w:t>
      </w:r>
      <w:r w:rsidRPr="009A5B67">
        <w:rPr>
          <w:rFonts w:ascii="Verdana" w:hAnsi="Verdana"/>
        </w:rPr>
        <w:t xml:space="preserve"> were moderate.</w:t>
      </w:r>
      <w:r w:rsidR="006A5A57">
        <w:rPr>
          <w:rFonts w:ascii="Verdana" w:hAnsi="Verdana"/>
        </w:rPr>
        <w:t xml:space="preserve"> This is excellent news as </w:t>
      </w:r>
      <w:r w:rsidR="001C57BA">
        <w:rPr>
          <w:rFonts w:ascii="Verdana" w:hAnsi="Verdana"/>
        </w:rPr>
        <w:t>vehicle accidents</w:t>
      </w:r>
      <w:r w:rsidR="00A11528">
        <w:rPr>
          <w:rFonts w:ascii="Verdana" w:hAnsi="Verdana"/>
        </w:rPr>
        <w:t>,</w:t>
      </w:r>
      <w:r w:rsidR="001C57BA">
        <w:rPr>
          <w:rFonts w:ascii="Verdana" w:hAnsi="Verdana"/>
        </w:rPr>
        <w:t xml:space="preserve"> especially slow manoeuvres</w:t>
      </w:r>
      <w:r w:rsidR="00A11528">
        <w:rPr>
          <w:rFonts w:ascii="Verdana" w:hAnsi="Verdana"/>
        </w:rPr>
        <w:t>,</w:t>
      </w:r>
      <w:r w:rsidR="001C57BA">
        <w:rPr>
          <w:rFonts w:ascii="Verdana" w:hAnsi="Verdana"/>
        </w:rPr>
        <w:t xml:space="preserve"> is a problem </w:t>
      </w:r>
      <w:r w:rsidR="00A11528">
        <w:rPr>
          <w:rFonts w:ascii="Verdana" w:hAnsi="Verdana"/>
        </w:rPr>
        <w:t>for fire and rescue services nationally.</w:t>
      </w:r>
      <w:r w:rsidRPr="009A5B67">
        <w:rPr>
          <w:rFonts w:ascii="Verdana" w:hAnsi="Verdana"/>
        </w:rPr>
        <w:t xml:space="preserve"> </w:t>
      </w:r>
      <w:r>
        <w:rPr>
          <w:rFonts w:ascii="Verdana" w:hAnsi="Verdana"/>
        </w:rPr>
        <w:t xml:space="preserve">Six of these moderate safety events were slow speed manoeuvres, three were attributable to third parties causing damage to </w:t>
      </w:r>
      <w:r w:rsidR="009F2A4F">
        <w:rPr>
          <w:rFonts w:ascii="Verdana" w:hAnsi="Verdana"/>
        </w:rPr>
        <w:t xml:space="preserve">Service </w:t>
      </w:r>
      <w:r>
        <w:rPr>
          <w:rFonts w:ascii="Verdana" w:hAnsi="Verdana"/>
        </w:rPr>
        <w:t>vehicles</w:t>
      </w:r>
      <w:r w:rsidR="00A11528">
        <w:rPr>
          <w:rFonts w:ascii="Verdana" w:hAnsi="Verdana"/>
        </w:rPr>
        <w:t>. Th</w:t>
      </w:r>
      <w:r>
        <w:rPr>
          <w:rFonts w:ascii="Verdana" w:hAnsi="Verdana"/>
        </w:rPr>
        <w:t xml:space="preserve">ere were two incidents of hydraulic leaks </w:t>
      </w:r>
      <w:r w:rsidR="00A11528">
        <w:rPr>
          <w:rFonts w:ascii="Verdana" w:hAnsi="Verdana"/>
        </w:rPr>
        <w:t>affecting</w:t>
      </w:r>
      <w:r>
        <w:rPr>
          <w:rFonts w:ascii="Verdana" w:hAnsi="Verdana"/>
        </w:rPr>
        <w:t xml:space="preserve"> turntable ladders, and two </w:t>
      </w:r>
      <w:r w:rsidR="00241AC2">
        <w:rPr>
          <w:rFonts w:ascii="Verdana" w:hAnsi="Verdana"/>
        </w:rPr>
        <w:t>appliance diesel leaks</w:t>
      </w:r>
      <w:r>
        <w:rPr>
          <w:rFonts w:ascii="Verdana" w:hAnsi="Verdana"/>
        </w:rPr>
        <w:t>. The remaining three were separate safety events which</w:t>
      </w:r>
      <w:r w:rsidR="00604BE4">
        <w:rPr>
          <w:rFonts w:ascii="Verdana" w:hAnsi="Verdana"/>
        </w:rPr>
        <w:t xml:space="preserve"> </w:t>
      </w:r>
      <w:r>
        <w:rPr>
          <w:rFonts w:ascii="Verdana" w:hAnsi="Verdana"/>
        </w:rPr>
        <w:t>cannot be specified due to</w:t>
      </w:r>
      <w:r w:rsidR="0025673F">
        <w:rPr>
          <w:rFonts w:ascii="Verdana" w:hAnsi="Verdana"/>
        </w:rPr>
        <w:t xml:space="preserve"> the requirements of</w:t>
      </w:r>
      <w:r>
        <w:rPr>
          <w:rFonts w:ascii="Verdana" w:hAnsi="Verdana"/>
        </w:rPr>
        <w:t xml:space="preserve"> </w:t>
      </w:r>
      <w:r w:rsidR="0025673F">
        <w:rPr>
          <w:rFonts w:ascii="Verdana" w:hAnsi="Verdana"/>
        </w:rPr>
        <w:t xml:space="preserve">the </w:t>
      </w:r>
      <w:r>
        <w:rPr>
          <w:rFonts w:ascii="Verdana" w:hAnsi="Verdana"/>
        </w:rPr>
        <w:t>G</w:t>
      </w:r>
      <w:r w:rsidR="0025673F">
        <w:rPr>
          <w:rFonts w:ascii="Verdana" w:hAnsi="Verdana"/>
        </w:rPr>
        <w:t>eneral Data Protection Regulations (GDPR).</w:t>
      </w:r>
    </w:p>
    <w:p w14:paraId="7232104C" w14:textId="0C12D022" w:rsidR="00EE0808" w:rsidRPr="009A5B67" w:rsidRDefault="00EE0808" w:rsidP="00EE0808">
      <w:pPr>
        <w:rPr>
          <w:rFonts w:ascii="Verdana" w:hAnsi="Verdana"/>
        </w:rPr>
      </w:pPr>
      <w:r w:rsidRPr="009A5B67">
        <w:rPr>
          <w:rFonts w:ascii="Verdana" w:hAnsi="Verdana"/>
        </w:rPr>
        <w:t>In the category “Acts of violence against firefighters”</w:t>
      </w:r>
      <w:r w:rsidR="00DA4451">
        <w:rPr>
          <w:rFonts w:ascii="Verdana" w:hAnsi="Verdana"/>
        </w:rPr>
        <w:t xml:space="preserve">, fortunately, there were no incidents to report this year which is a decrease of </w:t>
      </w:r>
      <w:r w:rsidR="00205B06">
        <w:rPr>
          <w:rFonts w:ascii="Verdana" w:hAnsi="Verdana"/>
        </w:rPr>
        <w:t>one</w:t>
      </w:r>
      <w:r w:rsidR="00DA4451">
        <w:rPr>
          <w:rFonts w:ascii="Verdana" w:hAnsi="Verdana"/>
        </w:rPr>
        <w:t xml:space="preserve"> compared to 2019/20.</w:t>
      </w:r>
      <w:r>
        <w:rPr>
          <w:rFonts w:ascii="Verdana" w:hAnsi="Verdana"/>
        </w:rPr>
        <w:t xml:space="preserve"> </w:t>
      </w:r>
      <w:r w:rsidR="002A3609">
        <w:rPr>
          <w:rFonts w:ascii="Verdana" w:hAnsi="Verdana"/>
        </w:rPr>
        <w:t>However,</w:t>
      </w:r>
      <w:r>
        <w:rPr>
          <w:rFonts w:ascii="Verdana" w:hAnsi="Verdana"/>
        </w:rPr>
        <w:t xml:space="preserve"> it is important to note that if any act</w:t>
      </w:r>
      <w:r w:rsidRPr="009A5B67">
        <w:rPr>
          <w:rFonts w:ascii="Verdana" w:hAnsi="Verdana"/>
        </w:rPr>
        <w:t xml:space="preserve"> of violence </w:t>
      </w:r>
      <w:r>
        <w:rPr>
          <w:rFonts w:ascii="Verdana" w:hAnsi="Verdana"/>
        </w:rPr>
        <w:t xml:space="preserve">was to take place </w:t>
      </w:r>
      <w:r w:rsidRPr="009A5B67">
        <w:rPr>
          <w:rFonts w:ascii="Verdana" w:hAnsi="Verdana"/>
        </w:rPr>
        <w:t xml:space="preserve">against </w:t>
      </w:r>
      <w:r>
        <w:rPr>
          <w:rFonts w:ascii="Verdana" w:hAnsi="Verdana"/>
        </w:rPr>
        <w:t xml:space="preserve">any member of </w:t>
      </w:r>
      <w:r w:rsidRPr="009A5B67">
        <w:rPr>
          <w:rFonts w:ascii="Verdana" w:hAnsi="Verdana"/>
        </w:rPr>
        <w:t xml:space="preserve">staff </w:t>
      </w:r>
      <w:r w:rsidR="003B1631">
        <w:rPr>
          <w:rFonts w:ascii="Verdana" w:hAnsi="Verdana"/>
        </w:rPr>
        <w:t>it</w:t>
      </w:r>
      <w:r>
        <w:rPr>
          <w:rFonts w:ascii="Verdana" w:hAnsi="Verdana"/>
        </w:rPr>
        <w:t xml:space="preserve"> would</w:t>
      </w:r>
      <w:r w:rsidRPr="009A5B67">
        <w:rPr>
          <w:rFonts w:ascii="Verdana" w:hAnsi="Verdana"/>
        </w:rPr>
        <w:t xml:space="preserve"> </w:t>
      </w:r>
      <w:r>
        <w:rPr>
          <w:rFonts w:ascii="Verdana" w:hAnsi="Verdana"/>
        </w:rPr>
        <w:t xml:space="preserve">be </w:t>
      </w:r>
      <w:r w:rsidRPr="009A5B67">
        <w:rPr>
          <w:rFonts w:ascii="Verdana" w:hAnsi="Verdana"/>
        </w:rPr>
        <w:t xml:space="preserve">taken seriously and reported to the police.  </w:t>
      </w:r>
    </w:p>
    <w:p w14:paraId="20098D9F" w14:textId="08B9193B" w:rsidR="00EE0808" w:rsidRDefault="00EE0808" w:rsidP="00EE0808">
      <w:pPr>
        <w:rPr>
          <w:rFonts w:ascii="Verdana" w:hAnsi="Verdana"/>
        </w:rPr>
      </w:pPr>
      <w:r>
        <w:rPr>
          <w:rFonts w:ascii="Verdana" w:hAnsi="Verdana"/>
        </w:rPr>
        <w:t>For the year 2020/21 there</w:t>
      </w:r>
      <w:r w:rsidRPr="00201824">
        <w:rPr>
          <w:rFonts w:ascii="Verdana" w:hAnsi="Verdana"/>
        </w:rPr>
        <w:t xml:space="preserve"> has been a decrease in the number of “near</w:t>
      </w:r>
      <w:r>
        <w:rPr>
          <w:rFonts w:ascii="Verdana" w:hAnsi="Verdana"/>
        </w:rPr>
        <w:t>-</w:t>
      </w:r>
      <w:r w:rsidRPr="00201824">
        <w:rPr>
          <w:rFonts w:ascii="Verdana" w:hAnsi="Verdana"/>
        </w:rPr>
        <w:t xml:space="preserve">miss” reports of </w:t>
      </w:r>
      <w:r>
        <w:rPr>
          <w:rFonts w:ascii="Verdana" w:hAnsi="Verdana"/>
        </w:rPr>
        <w:t>33</w:t>
      </w:r>
      <w:r w:rsidRPr="00201824">
        <w:rPr>
          <w:rFonts w:ascii="Verdana" w:hAnsi="Verdana"/>
        </w:rPr>
        <w:t xml:space="preserve"> compared to </w:t>
      </w:r>
      <w:r>
        <w:rPr>
          <w:rFonts w:ascii="Verdana" w:hAnsi="Verdana"/>
        </w:rPr>
        <w:t>39</w:t>
      </w:r>
      <w:r w:rsidRPr="00201824">
        <w:rPr>
          <w:rFonts w:ascii="Verdana" w:hAnsi="Verdana"/>
        </w:rPr>
        <w:t xml:space="preserve"> in </w:t>
      </w:r>
      <w:r>
        <w:rPr>
          <w:rFonts w:ascii="Verdana" w:hAnsi="Verdana"/>
        </w:rPr>
        <w:t>2019/20.</w:t>
      </w:r>
      <w:r w:rsidRPr="00201824">
        <w:rPr>
          <w:rFonts w:ascii="Verdana" w:hAnsi="Verdana"/>
        </w:rPr>
        <w:t xml:space="preserve"> </w:t>
      </w:r>
      <w:r>
        <w:rPr>
          <w:rFonts w:ascii="Verdana" w:hAnsi="Verdana"/>
        </w:rPr>
        <w:t xml:space="preserve">This result highlights the need to constantly remind staff to report events that may seem trivial, </w:t>
      </w:r>
      <w:r w:rsidR="0025673F">
        <w:rPr>
          <w:rFonts w:ascii="Verdana" w:hAnsi="Verdana"/>
        </w:rPr>
        <w:t xml:space="preserve">especially </w:t>
      </w:r>
      <w:r>
        <w:rPr>
          <w:rFonts w:ascii="Verdana" w:hAnsi="Verdana"/>
        </w:rPr>
        <w:t xml:space="preserve">as there </w:t>
      </w:r>
      <w:r w:rsidR="0025673F">
        <w:rPr>
          <w:rFonts w:ascii="Verdana" w:hAnsi="Verdana"/>
        </w:rPr>
        <w:t xml:space="preserve">is the opportunity to improve performance through investigation where there </w:t>
      </w:r>
      <w:r>
        <w:rPr>
          <w:rFonts w:ascii="Verdana" w:hAnsi="Verdana"/>
        </w:rPr>
        <w:t>has been no injury or financial loss</w:t>
      </w:r>
      <w:r w:rsidR="0025673F">
        <w:rPr>
          <w:rFonts w:ascii="Verdana" w:hAnsi="Verdana"/>
        </w:rPr>
        <w:t>.</w:t>
      </w:r>
    </w:p>
    <w:p w14:paraId="6833B37D" w14:textId="2B8ED6A8" w:rsidR="003A4180" w:rsidRDefault="0018363D" w:rsidP="00EE0808">
      <w:pPr>
        <w:rPr>
          <w:rFonts w:ascii="Verdana" w:hAnsi="Verdana"/>
        </w:rPr>
      </w:pPr>
      <w:r w:rsidRPr="00A72C92">
        <w:rPr>
          <w:rFonts w:ascii="Verdana" w:hAnsi="Verdana"/>
          <w:b/>
          <w:bCs/>
        </w:rPr>
        <w:t>Working Time Regulation</w:t>
      </w:r>
      <w:r w:rsidR="00A72C92">
        <w:rPr>
          <w:rFonts w:ascii="Verdana" w:hAnsi="Verdana"/>
          <w:b/>
          <w:bCs/>
        </w:rPr>
        <w:t>s</w:t>
      </w:r>
      <w:r w:rsidRPr="00A72C92">
        <w:rPr>
          <w:rFonts w:ascii="Verdana" w:hAnsi="Verdana"/>
          <w:b/>
          <w:bCs/>
        </w:rPr>
        <w:t xml:space="preserve"> </w:t>
      </w:r>
      <w:r w:rsidR="00A72C92" w:rsidRPr="00A72C92">
        <w:rPr>
          <w:rFonts w:ascii="Verdana" w:hAnsi="Verdana"/>
          <w:b/>
          <w:bCs/>
        </w:rPr>
        <w:t>compliance</w:t>
      </w:r>
      <w:r w:rsidR="00A72C92">
        <w:rPr>
          <w:rFonts w:ascii="Verdana" w:hAnsi="Verdana"/>
          <w:b/>
          <w:bCs/>
        </w:rPr>
        <w:t xml:space="preserve">: </w:t>
      </w:r>
      <w:r w:rsidR="002854EE">
        <w:rPr>
          <w:rFonts w:ascii="Verdana" w:hAnsi="Verdana"/>
        </w:rPr>
        <w:t xml:space="preserve">The </w:t>
      </w:r>
      <w:r w:rsidR="0013733E">
        <w:rPr>
          <w:rFonts w:ascii="Verdana" w:hAnsi="Verdana"/>
        </w:rPr>
        <w:t xml:space="preserve">Resource Management Team monitor the </w:t>
      </w:r>
      <w:r w:rsidR="009B725F">
        <w:rPr>
          <w:rFonts w:ascii="Verdana" w:hAnsi="Verdana"/>
        </w:rPr>
        <w:t xml:space="preserve">hours worked by </w:t>
      </w:r>
      <w:r w:rsidR="001C723E">
        <w:rPr>
          <w:rFonts w:ascii="Verdana" w:hAnsi="Verdana"/>
        </w:rPr>
        <w:t>operational personnel</w:t>
      </w:r>
      <w:r w:rsidR="001E204D">
        <w:rPr>
          <w:rFonts w:ascii="Verdana" w:hAnsi="Verdana"/>
        </w:rPr>
        <w:t xml:space="preserve"> </w:t>
      </w:r>
      <w:r w:rsidR="001B3566">
        <w:rPr>
          <w:rFonts w:ascii="Verdana" w:hAnsi="Verdana"/>
        </w:rPr>
        <w:t xml:space="preserve">focussing on those </w:t>
      </w:r>
      <w:r w:rsidR="00FD679E">
        <w:rPr>
          <w:rFonts w:ascii="Verdana" w:hAnsi="Verdana"/>
        </w:rPr>
        <w:t xml:space="preserve">who have more than one contract with BFRS. This </w:t>
      </w:r>
      <w:r w:rsidR="00D94DBD">
        <w:rPr>
          <w:rFonts w:ascii="Verdana" w:hAnsi="Verdana"/>
        </w:rPr>
        <w:t>is managed</w:t>
      </w:r>
      <w:r w:rsidR="00FD679E">
        <w:rPr>
          <w:rFonts w:ascii="Verdana" w:hAnsi="Verdana"/>
        </w:rPr>
        <w:t xml:space="preserve"> </w:t>
      </w:r>
      <w:r w:rsidR="0013733E">
        <w:rPr>
          <w:rFonts w:ascii="Verdana" w:hAnsi="Verdana"/>
        </w:rPr>
        <w:t xml:space="preserve">via the resource management system </w:t>
      </w:r>
      <w:r w:rsidR="00D94DBD">
        <w:rPr>
          <w:rFonts w:ascii="Verdana" w:hAnsi="Verdana"/>
        </w:rPr>
        <w:t>and</w:t>
      </w:r>
      <w:r w:rsidR="001C723E">
        <w:rPr>
          <w:rFonts w:ascii="Verdana" w:hAnsi="Verdana"/>
        </w:rPr>
        <w:t xml:space="preserve"> has </w:t>
      </w:r>
      <w:r w:rsidR="001E204D">
        <w:rPr>
          <w:rFonts w:ascii="Verdana" w:hAnsi="Verdana"/>
        </w:rPr>
        <w:t>proved to be very successful in reducing the number of breaches of the Working Time Regulations</w:t>
      </w:r>
      <w:r w:rsidR="00D94DBD">
        <w:rPr>
          <w:rFonts w:ascii="Verdana" w:hAnsi="Verdana"/>
        </w:rPr>
        <w:t xml:space="preserve">. </w:t>
      </w:r>
    </w:p>
    <w:p w14:paraId="7FB3FF70" w14:textId="5EA4A574" w:rsidR="00602832" w:rsidRDefault="001C21A2" w:rsidP="00EE0808">
      <w:pPr>
        <w:rPr>
          <w:rFonts w:ascii="Verdana" w:hAnsi="Verdana"/>
        </w:rPr>
      </w:pPr>
      <w:r>
        <w:rPr>
          <w:rFonts w:ascii="Verdana" w:hAnsi="Verdana"/>
        </w:rPr>
        <w:t xml:space="preserve">A breach will </w:t>
      </w:r>
      <w:r w:rsidR="00B61182">
        <w:rPr>
          <w:rFonts w:ascii="Verdana" w:hAnsi="Verdana"/>
        </w:rPr>
        <w:t xml:space="preserve">occur when a worker does not have a full </w:t>
      </w:r>
      <w:r w:rsidR="007A1C45">
        <w:rPr>
          <w:rFonts w:ascii="Verdana" w:hAnsi="Verdana"/>
        </w:rPr>
        <w:t>24-hour</w:t>
      </w:r>
      <w:r w:rsidR="00B61182">
        <w:rPr>
          <w:rFonts w:ascii="Verdana" w:hAnsi="Verdana"/>
        </w:rPr>
        <w:t xml:space="preserve"> uninterrupted rest </w:t>
      </w:r>
      <w:r w:rsidR="00040A13">
        <w:rPr>
          <w:rFonts w:ascii="Verdana" w:hAnsi="Verdana"/>
        </w:rPr>
        <w:t xml:space="preserve">break </w:t>
      </w:r>
      <w:r w:rsidR="00B61182">
        <w:rPr>
          <w:rFonts w:ascii="Verdana" w:hAnsi="Verdana"/>
        </w:rPr>
        <w:t xml:space="preserve">in any seven days </w:t>
      </w:r>
      <w:r w:rsidR="00040A13">
        <w:rPr>
          <w:rFonts w:ascii="Verdana" w:hAnsi="Verdana"/>
        </w:rPr>
        <w:t>or 48 hours in 14 days</w:t>
      </w:r>
      <w:r w:rsidR="007A1C45">
        <w:rPr>
          <w:rFonts w:ascii="Verdana" w:hAnsi="Verdana"/>
        </w:rPr>
        <w:t>,</w:t>
      </w:r>
      <w:r w:rsidR="00040A13">
        <w:rPr>
          <w:rFonts w:ascii="Verdana" w:hAnsi="Verdana"/>
        </w:rPr>
        <w:t xml:space="preserve"> or </w:t>
      </w:r>
      <w:r w:rsidR="007A1C45">
        <w:rPr>
          <w:rFonts w:ascii="Verdana" w:hAnsi="Verdana"/>
        </w:rPr>
        <w:t xml:space="preserve">the total of hours worked per week exceeds </w:t>
      </w:r>
      <w:r w:rsidR="0095122A">
        <w:rPr>
          <w:rFonts w:ascii="Verdana" w:hAnsi="Verdana"/>
        </w:rPr>
        <w:t>84</w:t>
      </w:r>
      <w:r w:rsidR="007A1C45">
        <w:rPr>
          <w:rFonts w:ascii="Verdana" w:hAnsi="Verdana"/>
        </w:rPr>
        <w:t>.</w:t>
      </w:r>
      <w:r w:rsidR="0095122A">
        <w:rPr>
          <w:rFonts w:ascii="Verdana" w:hAnsi="Verdana"/>
        </w:rPr>
        <w:t xml:space="preserve"> The Service has implemented a</w:t>
      </w:r>
      <w:r w:rsidR="0045535D">
        <w:rPr>
          <w:rFonts w:ascii="Verdana" w:hAnsi="Verdana"/>
        </w:rPr>
        <w:t xml:space="preserve"> limit on the number of hours worked</w:t>
      </w:r>
      <w:r w:rsidR="00312713">
        <w:rPr>
          <w:rFonts w:ascii="Verdana" w:hAnsi="Verdana"/>
        </w:rPr>
        <w:t xml:space="preserve"> at 78 per week to </w:t>
      </w:r>
      <w:r w:rsidR="00D01CEF">
        <w:rPr>
          <w:rFonts w:ascii="Verdana" w:hAnsi="Verdana"/>
        </w:rPr>
        <w:t xml:space="preserve">build in extra protection </w:t>
      </w:r>
      <w:r w:rsidR="00B84AED">
        <w:rPr>
          <w:rFonts w:ascii="Verdana" w:hAnsi="Verdana"/>
        </w:rPr>
        <w:t xml:space="preserve">against fatigue </w:t>
      </w:r>
      <w:r w:rsidR="00602832">
        <w:rPr>
          <w:rFonts w:ascii="Verdana" w:hAnsi="Verdana"/>
        </w:rPr>
        <w:t>for staff.</w:t>
      </w:r>
      <w:r w:rsidR="00040A13">
        <w:rPr>
          <w:rFonts w:ascii="Verdana" w:hAnsi="Verdana"/>
        </w:rPr>
        <w:t xml:space="preserve"> </w:t>
      </w:r>
      <w:r w:rsidR="0025673F">
        <w:rPr>
          <w:rFonts w:ascii="Verdana" w:hAnsi="Verdana"/>
        </w:rPr>
        <w:t xml:space="preserve">Two periods of </w:t>
      </w:r>
      <w:r w:rsidR="009A78E5">
        <w:rPr>
          <w:rFonts w:ascii="Verdana" w:hAnsi="Verdana"/>
        </w:rPr>
        <w:t>24-hour</w:t>
      </w:r>
      <w:r w:rsidR="0025673F">
        <w:rPr>
          <w:rFonts w:ascii="Verdana" w:hAnsi="Verdana"/>
        </w:rPr>
        <w:t xml:space="preserve"> uninterrupted rest </w:t>
      </w:r>
      <w:r w:rsidR="006B2C7C">
        <w:rPr>
          <w:rFonts w:ascii="Verdana" w:hAnsi="Verdana"/>
        </w:rPr>
        <w:t xml:space="preserve">are </w:t>
      </w:r>
      <w:r w:rsidR="0025673F">
        <w:rPr>
          <w:rFonts w:ascii="Verdana" w:hAnsi="Verdana"/>
        </w:rPr>
        <w:t xml:space="preserve">also given in line with the Grey </w:t>
      </w:r>
      <w:r w:rsidR="005E3918">
        <w:rPr>
          <w:rFonts w:ascii="Verdana" w:hAnsi="Verdana"/>
        </w:rPr>
        <w:t>B</w:t>
      </w:r>
      <w:r w:rsidR="0025673F">
        <w:rPr>
          <w:rFonts w:ascii="Verdana" w:hAnsi="Verdana"/>
        </w:rPr>
        <w:t>ook.</w:t>
      </w:r>
    </w:p>
    <w:p w14:paraId="5A68A577" w14:textId="2BA33BF3" w:rsidR="00506532" w:rsidRPr="00A76847" w:rsidRDefault="00814996" w:rsidP="00EE0808">
      <w:pPr>
        <w:rPr>
          <w:rFonts w:ascii="Verdana" w:hAnsi="Verdana"/>
        </w:rPr>
      </w:pPr>
      <w:r>
        <w:rPr>
          <w:rFonts w:ascii="Verdana" w:hAnsi="Verdana"/>
        </w:rPr>
        <w:t xml:space="preserve">From April 2020 to March 2021 there were 3822 </w:t>
      </w:r>
      <w:r w:rsidR="00997D7B">
        <w:rPr>
          <w:rFonts w:ascii="Verdana" w:hAnsi="Verdana"/>
        </w:rPr>
        <w:t>B</w:t>
      </w:r>
      <w:r>
        <w:rPr>
          <w:rFonts w:ascii="Verdana" w:hAnsi="Verdana"/>
        </w:rPr>
        <w:t xml:space="preserve">ank shifts worked and of those </w:t>
      </w:r>
      <w:r w:rsidR="001C21A2">
        <w:rPr>
          <w:rFonts w:ascii="Verdana" w:hAnsi="Verdana"/>
        </w:rPr>
        <w:t>there were seven breaches.</w:t>
      </w:r>
      <w:r w:rsidR="008C1B7A">
        <w:rPr>
          <w:rFonts w:ascii="Verdana" w:hAnsi="Verdana"/>
        </w:rPr>
        <w:t xml:space="preserve"> This is a significant improvement </w:t>
      </w:r>
      <w:r w:rsidR="00AD4B95">
        <w:rPr>
          <w:rFonts w:ascii="Verdana" w:hAnsi="Verdana"/>
        </w:rPr>
        <w:t>from the previous year, providing assurance that should the HSE conduct an</w:t>
      </w:r>
      <w:r w:rsidR="003A4180">
        <w:rPr>
          <w:rFonts w:ascii="Verdana" w:hAnsi="Verdana"/>
        </w:rPr>
        <w:t xml:space="preserve"> inspection on the Service there is a robust and effective monitoring process in place.</w:t>
      </w:r>
    </w:p>
    <w:p w14:paraId="2B7B169D" w14:textId="509A3718" w:rsidR="007B16A9" w:rsidRPr="007B16A9" w:rsidRDefault="00EE0808" w:rsidP="00EE0808">
      <w:pPr>
        <w:rPr>
          <w:rFonts w:ascii="Verdana" w:hAnsi="Verdana"/>
        </w:rPr>
      </w:pPr>
      <w:r w:rsidRPr="00156088">
        <w:rPr>
          <w:rFonts w:ascii="Verdana" w:hAnsi="Verdana"/>
        </w:rPr>
        <w:t xml:space="preserve">The performance statistical data received from the Home Office for 2020/21 </w:t>
      </w:r>
      <w:r w:rsidR="00156088" w:rsidRPr="00156088">
        <w:rPr>
          <w:rFonts w:ascii="Verdana" w:hAnsi="Verdana"/>
          <w:b/>
          <w:bCs/>
        </w:rPr>
        <w:t>relates solely to operational personnel</w:t>
      </w:r>
      <w:r w:rsidR="00156088">
        <w:rPr>
          <w:rFonts w:ascii="Verdana" w:hAnsi="Verdana"/>
        </w:rPr>
        <w:t xml:space="preserve"> and </w:t>
      </w:r>
      <w:r w:rsidRPr="00156088">
        <w:rPr>
          <w:rFonts w:ascii="Verdana" w:hAnsi="Verdana"/>
        </w:rPr>
        <w:t xml:space="preserve">is displayed as league tables of </w:t>
      </w:r>
      <w:r w:rsidRPr="00156088">
        <w:rPr>
          <w:rFonts w:ascii="Verdana" w:hAnsi="Verdana"/>
        </w:rPr>
        <w:lastRenderedPageBreak/>
        <w:t xml:space="preserve">fire and rescue services with similar numbers of employees </w:t>
      </w:r>
      <w:proofErr w:type="gramStart"/>
      <w:r w:rsidRPr="00156088">
        <w:rPr>
          <w:rFonts w:ascii="Verdana" w:hAnsi="Verdana"/>
        </w:rPr>
        <w:t>in order to</w:t>
      </w:r>
      <w:proofErr w:type="gramEnd"/>
      <w:r w:rsidRPr="00156088">
        <w:rPr>
          <w:rFonts w:ascii="Verdana" w:hAnsi="Verdana"/>
        </w:rPr>
        <w:t xml:space="preserve"> provide a more accurate comparison of performance between BFRS and its peers. </w:t>
      </w:r>
    </w:p>
    <w:p w14:paraId="503099F4" w14:textId="000159AB" w:rsidR="00EE0808" w:rsidRPr="00C27314" w:rsidRDefault="00EE0808" w:rsidP="00EE0808">
      <w:pPr>
        <w:rPr>
          <w:rFonts w:ascii="Verdana" w:hAnsi="Verdana"/>
        </w:rPr>
      </w:pPr>
      <w:r w:rsidRPr="00C27314">
        <w:rPr>
          <w:rFonts w:ascii="Verdana" w:hAnsi="Verdana"/>
        </w:rPr>
        <w:t>There has been a s</w:t>
      </w:r>
      <w:r w:rsidR="00C27314">
        <w:rPr>
          <w:rFonts w:ascii="Verdana" w:hAnsi="Verdana"/>
        </w:rPr>
        <w:t>ignificant</w:t>
      </w:r>
      <w:r w:rsidRPr="00C27314">
        <w:rPr>
          <w:rFonts w:ascii="Verdana" w:hAnsi="Verdana"/>
        </w:rPr>
        <w:t xml:space="preserve"> decrease in the </w:t>
      </w:r>
      <w:r w:rsidRPr="00C27314">
        <w:rPr>
          <w:rFonts w:ascii="Verdana" w:hAnsi="Verdana"/>
          <w:b/>
        </w:rPr>
        <w:t xml:space="preserve">total number of persons injured </w:t>
      </w:r>
      <w:r w:rsidRPr="00C27314">
        <w:rPr>
          <w:rFonts w:ascii="Verdana" w:hAnsi="Verdana"/>
        </w:rPr>
        <w:t xml:space="preserve">from </w:t>
      </w:r>
      <w:r w:rsidR="00C27314">
        <w:rPr>
          <w:rFonts w:ascii="Verdana" w:hAnsi="Verdana"/>
        </w:rPr>
        <w:t>38</w:t>
      </w:r>
      <w:r w:rsidRPr="00C27314">
        <w:rPr>
          <w:rFonts w:ascii="Verdana" w:hAnsi="Verdana"/>
        </w:rPr>
        <w:t xml:space="preserve"> in 2019/20 to </w:t>
      </w:r>
      <w:r w:rsidR="00C27314">
        <w:rPr>
          <w:rFonts w:ascii="Verdana" w:hAnsi="Verdana"/>
        </w:rPr>
        <w:t>24</w:t>
      </w:r>
      <w:r w:rsidRPr="00C27314">
        <w:rPr>
          <w:rFonts w:ascii="Verdana" w:hAnsi="Verdana"/>
        </w:rPr>
        <w:t xml:space="preserve"> in 2020/21. Of these, </w:t>
      </w:r>
      <w:r w:rsidR="00C27314">
        <w:rPr>
          <w:rFonts w:ascii="Verdana" w:hAnsi="Verdana"/>
        </w:rPr>
        <w:t>17</w:t>
      </w:r>
      <w:r w:rsidRPr="00C27314">
        <w:rPr>
          <w:rFonts w:ascii="Verdana" w:hAnsi="Verdana"/>
        </w:rPr>
        <w:t xml:space="preserve"> occurred at training events, </w:t>
      </w:r>
      <w:r w:rsidR="00C27314">
        <w:rPr>
          <w:rFonts w:ascii="Verdana" w:hAnsi="Verdana"/>
        </w:rPr>
        <w:t>three</w:t>
      </w:r>
      <w:r w:rsidRPr="00C27314">
        <w:rPr>
          <w:rFonts w:ascii="Verdana" w:hAnsi="Verdana"/>
        </w:rPr>
        <w:t xml:space="preserve"> during routine activities and </w:t>
      </w:r>
      <w:r w:rsidR="00F76C18" w:rsidRPr="00C27314">
        <w:rPr>
          <w:rFonts w:ascii="Verdana" w:hAnsi="Verdana"/>
        </w:rPr>
        <w:t>f</w:t>
      </w:r>
      <w:r w:rsidR="00C27314">
        <w:rPr>
          <w:rFonts w:ascii="Verdana" w:hAnsi="Verdana"/>
        </w:rPr>
        <w:t>our</w:t>
      </w:r>
      <w:r w:rsidRPr="00C27314">
        <w:rPr>
          <w:rFonts w:ascii="Verdana" w:hAnsi="Verdana"/>
        </w:rPr>
        <w:t xml:space="preserve"> at </w:t>
      </w:r>
      <w:r w:rsidR="00C27314">
        <w:rPr>
          <w:rFonts w:ascii="Verdana" w:hAnsi="Verdana"/>
        </w:rPr>
        <w:t>fires</w:t>
      </w:r>
      <w:r w:rsidRPr="00C27314">
        <w:rPr>
          <w:rFonts w:ascii="Verdana" w:hAnsi="Verdana"/>
        </w:rPr>
        <w:t xml:space="preserve">. </w:t>
      </w:r>
    </w:p>
    <w:p w14:paraId="738F0924" w14:textId="5949D494" w:rsidR="00EE0808" w:rsidRPr="00C27314" w:rsidRDefault="00EE0808" w:rsidP="00EE0808">
      <w:pPr>
        <w:rPr>
          <w:rFonts w:ascii="Verdana" w:hAnsi="Verdana"/>
        </w:rPr>
      </w:pPr>
      <w:r w:rsidRPr="00C27314">
        <w:rPr>
          <w:rFonts w:ascii="Verdana" w:hAnsi="Verdana"/>
        </w:rPr>
        <w:t xml:space="preserve">The total number of </w:t>
      </w:r>
      <w:r w:rsidRPr="00C27314">
        <w:rPr>
          <w:rFonts w:ascii="Verdana" w:hAnsi="Verdana"/>
          <w:b/>
        </w:rPr>
        <w:t xml:space="preserve">injuries at fires </w:t>
      </w:r>
      <w:r w:rsidRPr="00C27314">
        <w:rPr>
          <w:rFonts w:ascii="Verdana" w:hAnsi="Verdana"/>
        </w:rPr>
        <w:t xml:space="preserve">has decreased from </w:t>
      </w:r>
      <w:r w:rsidR="00C27314">
        <w:rPr>
          <w:rFonts w:ascii="Verdana" w:hAnsi="Verdana"/>
        </w:rPr>
        <w:t>five</w:t>
      </w:r>
      <w:r w:rsidRPr="00C27314">
        <w:rPr>
          <w:rFonts w:ascii="Verdana" w:hAnsi="Verdana"/>
        </w:rPr>
        <w:t xml:space="preserve"> in 201</w:t>
      </w:r>
      <w:r w:rsidR="00C27314">
        <w:rPr>
          <w:rFonts w:ascii="Verdana" w:hAnsi="Verdana"/>
        </w:rPr>
        <w:t>9/20</w:t>
      </w:r>
      <w:r w:rsidRPr="00C27314">
        <w:rPr>
          <w:rFonts w:ascii="Verdana" w:hAnsi="Verdana"/>
        </w:rPr>
        <w:t xml:space="preserve"> to f</w:t>
      </w:r>
      <w:r w:rsidR="00C27314">
        <w:rPr>
          <w:rFonts w:ascii="Verdana" w:hAnsi="Verdana"/>
        </w:rPr>
        <w:t>our</w:t>
      </w:r>
      <w:r w:rsidRPr="00C27314">
        <w:rPr>
          <w:rFonts w:ascii="Verdana" w:hAnsi="Verdana"/>
        </w:rPr>
        <w:t xml:space="preserve"> in 20</w:t>
      </w:r>
      <w:r w:rsidR="00C27314">
        <w:rPr>
          <w:rFonts w:ascii="Verdana" w:hAnsi="Verdana"/>
        </w:rPr>
        <w:t xml:space="preserve">20/21 </w:t>
      </w:r>
      <w:r w:rsidRPr="00C27314">
        <w:rPr>
          <w:rFonts w:ascii="Verdana" w:hAnsi="Verdana"/>
        </w:rPr>
        <w:t xml:space="preserve">resulting in BFRS </w:t>
      </w:r>
      <w:r w:rsidR="00C27314">
        <w:rPr>
          <w:rFonts w:ascii="Verdana" w:hAnsi="Verdana"/>
        </w:rPr>
        <w:t xml:space="preserve">attaining the top position </w:t>
      </w:r>
      <w:r w:rsidRPr="00C27314">
        <w:rPr>
          <w:rFonts w:ascii="Verdana" w:hAnsi="Verdana"/>
        </w:rPr>
        <w:t xml:space="preserve">of the National Peer Group Performance Comparison table detailed in Appendix 1.  </w:t>
      </w:r>
    </w:p>
    <w:p w14:paraId="515EB2AC" w14:textId="26D5C9EA" w:rsidR="00EE0808" w:rsidRPr="00C27314" w:rsidRDefault="00EE0808" w:rsidP="00EE0808">
      <w:pPr>
        <w:rPr>
          <w:rFonts w:ascii="Verdana" w:hAnsi="Verdana"/>
        </w:rPr>
      </w:pPr>
      <w:r w:rsidRPr="00C27314">
        <w:rPr>
          <w:rFonts w:ascii="Verdana" w:hAnsi="Verdana"/>
        </w:rPr>
        <w:t>The</w:t>
      </w:r>
      <w:r w:rsidR="00EC75EB">
        <w:rPr>
          <w:rFonts w:ascii="Verdana" w:hAnsi="Verdana"/>
        </w:rPr>
        <w:t xml:space="preserve">re were no </w:t>
      </w:r>
      <w:r w:rsidRPr="00C27314">
        <w:rPr>
          <w:rFonts w:ascii="Verdana" w:hAnsi="Verdana"/>
          <w:b/>
        </w:rPr>
        <w:t>injuries at special service calls</w:t>
      </w:r>
      <w:r w:rsidRPr="00C27314">
        <w:rPr>
          <w:rFonts w:ascii="Verdana" w:hAnsi="Verdana"/>
        </w:rPr>
        <w:t xml:space="preserve"> </w:t>
      </w:r>
      <w:r w:rsidR="00EC75EB">
        <w:rPr>
          <w:rFonts w:ascii="Verdana" w:hAnsi="Verdana"/>
        </w:rPr>
        <w:t>in 2020/21 compared to two in 2019/20, a good result. BFRS retains its position at the</w:t>
      </w:r>
      <w:r w:rsidRPr="00C27314">
        <w:rPr>
          <w:rFonts w:ascii="Verdana" w:hAnsi="Verdana"/>
        </w:rPr>
        <w:t xml:space="preserve"> top of the peer table.</w:t>
      </w:r>
    </w:p>
    <w:p w14:paraId="38F94F6B" w14:textId="77D55CB6" w:rsidR="00EE0808" w:rsidRPr="00C27314" w:rsidRDefault="00EE0808" w:rsidP="00EE0808">
      <w:pPr>
        <w:rPr>
          <w:rFonts w:ascii="Verdana" w:hAnsi="Verdana"/>
        </w:rPr>
      </w:pPr>
      <w:r w:rsidRPr="00C27314">
        <w:rPr>
          <w:rFonts w:ascii="Verdana" w:hAnsi="Verdana"/>
        </w:rPr>
        <w:t xml:space="preserve">In terms of </w:t>
      </w:r>
      <w:r w:rsidRPr="00C27314">
        <w:rPr>
          <w:rFonts w:ascii="Verdana" w:hAnsi="Verdana"/>
          <w:b/>
        </w:rPr>
        <w:t xml:space="preserve">injuries during routine activities </w:t>
      </w:r>
      <w:r w:rsidRPr="00C27314">
        <w:rPr>
          <w:rFonts w:ascii="Verdana" w:hAnsi="Verdana"/>
        </w:rPr>
        <w:t>there has been a</w:t>
      </w:r>
      <w:r w:rsidR="00A9276F">
        <w:rPr>
          <w:rFonts w:ascii="Verdana" w:hAnsi="Verdana"/>
        </w:rPr>
        <w:t xml:space="preserve"> significant decrease with three in 2020/21 compared to 11 in 2019/20 which is excellent news.</w:t>
      </w:r>
      <w:r w:rsidRPr="00C27314">
        <w:rPr>
          <w:rFonts w:ascii="Verdana" w:hAnsi="Verdana"/>
        </w:rPr>
        <w:t xml:space="preserve"> This has resulted in BFRS moving from </w:t>
      </w:r>
      <w:r w:rsidR="00A9276F">
        <w:rPr>
          <w:rFonts w:ascii="Verdana" w:hAnsi="Verdana"/>
        </w:rPr>
        <w:t>seventh position to second.</w:t>
      </w:r>
      <w:r w:rsidRPr="00C27314">
        <w:rPr>
          <w:rFonts w:ascii="Verdana" w:hAnsi="Verdana"/>
        </w:rPr>
        <w:t xml:space="preserve"> </w:t>
      </w:r>
    </w:p>
    <w:p w14:paraId="4F689B08" w14:textId="67F363B2" w:rsidR="00EE0808" w:rsidRPr="00C27314" w:rsidRDefault="00EE0808" w:rsidP="00EE0808">
      <w:pPr>
        <w:rPr>
          <w:rFonts w:ascii="Verdana" w:hAnsi="Verdana"/>
        </w:rPr>
      </w:pPr>
      <w:r w:rsidRPr="00C27314">
        <w:rPr>
          <w:rFonts w:ascii="Verdana" w:hAnsi="Verdana"/>
          <w:b/>
        </w:rPr>
        <w:t xml:space="preserve">Injuries over 7-day absence </w:t>
      </w:r>
      <w:r w:rsidRPr="00C27314">
        <w:rPr>
          <w:rFonts w:ascii="Verdana" w:hAnsi="Verdana"/>
        </w:rPr>
        <w:t xml:space="preserve">figures have </w:t>
      </w:r>
      <w:r w:rsidR="00A9276F">
        <w:rPr>
          <w:rFonts w:ascii="Verdana" w:hAnsi="Verdana"/>
        </w:rPr>
        <w:t>also decreased from six in 2019/20 to three in 2020/21 which places BFRS in third position</w:t>
      </w:r>
      <w:r w:rsidRPr="00C27314">
        <w:rPr>
          <w:rFonts w:ascii="Verdana" w:hAnsi="Verdana"/>
        </w:rPr>
        <w:t xml:space="preserve"> in the peer table.</w:t>
      </w:r>
    </w:p>
    <w:p w14:paraId="7B104F9B" w14:textId="5F9FE516" w:rsidR="00EE0808" w:rsidRDefault="00EE0808" w:rsidP="00EE0808">
      <w:pPr>
        <w:rPr>
          <w:rFonts w:ascii="Verdana" w:hAnsi="Verdana"/>
        </w:rPr>
      </w:pPr>
      <w:r w:rsidRPr="00C27314">
        <w:rPr>
          <w:rFonts w:ascii="Verdana" w:hAnsi="Verdana"/>
        </w:rPr>
        <w:t>There has been a</w:t>
      </w:r>
      <w:r w:rsidR="00A9276F">
        <w:rPr>
          <w:rFonts w:ascii="Verdana" w:hAnsi="Verdana"/>
        </w:rPr>
        <w:t xml:space="preserve"> decrease</w:t>
      </w:r>
      <w:r w:rsidRPr="00C27314">
        <w:rPr>
          <w:rFonts w:ascii="Verdana" w:hAnsi="Verdana"/>
        </w:rPr>
        <w:t xml:space="preserve"> in the total number of </w:t>
      </w:r>
      <w:r w:rsidRPr="00C27314">
        <w:rPr>
          <w:rFonts w:ascii="Verdana" w:hAnsi="Verdana"/>
          <w:b/>
        </w:rPr>
        <w:t>injuries during training events</w:t>
      </w:r>
      <w:r w:rsidRPr="00C27314">
        <w:rPr>
          <w:rFonts w:ascii="Verdana" w:hAnsi="Verdana"/>
        </w:rPr>
        <w:t xml:space="preserve"> from </w:t>
      </w:r>
      <w:r w:rsidR="00A9276F">
        <w:rPr>
          <w:rFonts w:ascii="Verdana" w:hAnsi="Verdana"/>
        </w:rPr>
        <w:t>20 in 2019/20 to 17 in 2020/21. Despite the decrease BFRS hold eighth position in the league table as seven other Services had less injuries in this category compared to last year.</w:t>
      </w:r>
      <w:r w:rsidRPr="00C27314">
        <w:rPr>
          <w:rFonts w:ascii="Verdana" w:hAnsi="Verdana"/>
        </w:rPr>
        <w:t xml:space="preserve"> </w:t>
      </w:r>
    </w:p>
    <w:p w14:paraId="1424558F" w14:textId="43FF6461" w:rsidR="009403E0" w:rsidRPr="00C27314" w:rsidRDefault="009403E0" w:rsidP="00EE0808">
      <w:pPr>
        <w:rPr>
          <w:rFonts w:ascii="Verdana" w:hAnsi="Verdana"/>
        </w:rPr>
      </w:pPr>
      <w:r>
        <w:rPr>
          <w:rFonts w:ascii="Verdana" w:hAnsi="Verdana"/>
        </w:rPr>
        <w:t xml:space="preserve">Finally, there were no </w:t>
      </w:r>
      <w:r w:rsidRPr="009403E0">
        <w:rPr>
          <w:rFonts w:ascii="Verdana" w:hAnsi="Verdana"/>
          <w:i/>
          <w:iCs/>
        </w:rPr>
        <w:t>major injuries</w:t>
      </w:r>
      <w:r>
        <w:rPr>
          <w:rFonts w:ascii="Verdana" w:hAnsi="Verdana"/>
        </w:rPr>
        <w:t xml:space="preserve"> for the year 2020/21</w:t>
      </w:r>
      <w:r w:rsidR="00BE3F0E">
        <w:rPr>
          <w:rFonts w:ascii="Verdana" w:hAnsi="Verdana"/>
        </w:rPr>
        <w:t>.</w:t>
      </w:r>
    </w:p>
    <w:p w14:paraId="3BCAD503" w14:textId="793F787E" w:rsidR="00EE0808" w:rsidRDefault="00EE0808" w:rsidP="00EE0808">
      <w:pPr>
        <w:rPr>
          <w:rFonts w:ascii="Verdana" w:hAnsi="Verdana"/>
        </w:rPr>
      </w:pPr>
      <w:r w:rsidRPr="0007393D">
        <w:rPr>
          <w:rFonts w:ascii="Verdana" w:hAnsi="Verdana"/>
        </w:rPr>
        <w:t>Health and safety performance is reported quarterly at the Health, Safety and Wellbeing Committee chaired by the Deputy Chief Fire Officer. Key stakeholders, the representative bodies and the Representative of Employees are invited to attend these meetings. Governance is via the Performance and S</w:t>
      </w:r>
      <w:r w:rsidR="0007393D">
        <w:rPr>
          <w:rFonts w:ascii="Verdana" w:hAnsi="Verdana"/>
        </w:rPr>
        <w:t>enior</w:t>
      </w:r>
      <w:r w:rsidRPr="0007393D">
        <w:rPr>
          <w:rFonts w:ascii="Verdana" w:hAnsi="Verdana"/>
        </w:rPr>
        <w:t xml:space="preserve"> Management Boards on a six-monthly basis. The reports include statistical data on the number and type of safety events occurring at operational incidents, training and routine activities and the number and types of safety events involving Support staff.</w:t>
      </w:r>
      <w:r>
        <w:rPr>
          <w:rFonts w:ascii="Verdana" w:hAnsi="Verdana"/>
        </w:rPr>
        <w:t xml:space="preserve"> </w:t>
      </w:r>
      <w:r w:rsidRPr="00B96EB3">
        <w:rPr>
          <w:rFonts w:ascii="Verdana" w:hAnsi="Verdana"/>
        </w:rPr>
        <w:t xml:space="preserve"> </w:t>
      </w:r>
    </w:p>
    <w:p w14:paraId="2001AD43" w14:textId="77777777" w:rsidR="00A27503" w:rsidRDefault="00A27503" w:rsidP="0044186B">
      <w:pPr>
        <w:rPr>
          <w:rFonts w:ascii="Verdana" w:hAnsi="Verdana"/>
          <w:noProof/>
          <w:sz w:val="44"/>
          <w:szCs w:val="44"/>
          <w:lang w:eastAsia="en-GB"/>
        </w:rPr>
      </w:pPr>
    </w:p>
    <w:p w14:paraId="44CB72FC" w14:textId="77777777" w:rsidR="00A27503" w:rsidRDefault="00A27503" w:rsidP="0044186B">
      <w:pPr>
        <w:rPr>
          <w:rFonts w:ascii="Verdana" w:hAnsi="Verdana"/>
          <w:noProof/>
          <w:sz w:val="44"/>
          <w:szCs w:val="44"/>
          <w:lang w:eastAsia="en-GB"/>
        </w:rPr>
      </w:pPr>
    </w:p>
    <w:p w14:paraId="584230F4" w14:textId="77777777" w:rsidR="00DB1CD2" w:rsidRDefault="00DB1CD2" w:rsidP="0044186B">
      <w:pPr>
        <w:rPr>
          <w:rFonts w:ascii="Verdana" w:hAnsi="Verdana"/>
          <w:noProof/>
          <w:sz w:val="44"/>
          <w:szCs w:val="44"/>
          <w:lang w:eastAsia="en-GB"/>
        </w:rPr>
      </w:pPr>
    </w:p>
    <w:p w14:paraId="5D33EAAA" w14:textId="77777777" w:rsidR="00EF7B70" w:rsidRDefault="00EF7B70" w:rsidP="0044186B">
      <w:pPr>
        <w:rPr>
          <w:rFonts w:ascii="Verdana" w:hAnsi="Verdana"/>
          <w:noProof/>
          <w:sz w:val="44"/>
          <w:szCs w:val="44"/>
          <w:lang w:eastAsia="en-GB"/>
        </w:rPr>
      </w:pPr>
    </w:p>
    <w:p w14:paraId="4079D12A" w14:textId="4C2C5E8B" w:rsidR="0044186B" w:rsidRPr="00704BE0" w:rsidRDefault="0044186B" w:rsidP="0044186B">
      <w:pPr>
        <w:rPr>
          <w:rFonts w:ascii="Verdana" w:hAnsi="Verdana"/>
          <w:noProof/>
          <w:sz w:val="44"/>
          <w:szCs w:val="44"/>
          <w:lang w:eastAsia="en-GB"/>
        </w:rPr>
      </w:pPr>
      <w:r w:rsidRPr="00A43B0A">
        <w:rPr>
          <w:rFonts w:ascii="Verdana" w:hAnsi="Verdana"/>
          <w:noProof/>
          <w:sz w:val="44"/>
          <w:szCs w:val="44"/>
          <w:lang w:eastAsia="en-GB"/>
        </w:rPr>
        <w:lastRenderedPageBreak/>
        <w:t xml:space="preserve">Employee </w:t>
      </w:r>
      <w:r w:rsidR="00261B09" w:rsidRPr="00A43B0A">
        <w:rPr>
          <w:rFonts w:ascii="Verdana" w:hAnsi="Verdana"/>
          <w:noProof/>
          <w:sz w:val="44"/>
          <w:szCs w:val="44"/>
          <w:lang w:eastAsia="en-GB"/>
        </w:rPr>
        <w:t>W</w:t>
      </w:r>
      <w:r w:rsidR="002368B0" w:rsidRPr="00A43B0A">
        <w:rPr>
          <w:rFonts w:ascii="Verdana" w:hAnsi="Verdana"/>
          <w:noProof/>
          <w:sz w:val="44"/>
          <w:szCs w:val="44"/>
          <w:lang w:eastAsia="en-GB"/>
        </w:rPr>
        <w:t>ellbeing</w:t>
      </w:r>
    </w:p>
    <w:p w14:paraId="1C5A0BE1" w14:textId="77777777" w:rsidR="00F86099" w:rsidRPr="000A411F" w:rsidRDefault="00F86099" w:rsidP="00F86099">
      <w:pPr>
        <w:autoSpaceDE w:val="0"/>
        <w:autoSpaceDN w:val="0"/>
        <w:adjustRightInd w:val="0"/>
        <w:spacing w:after="0" w:line="240" w:lineRule="auto"/>
        <w:rPr>
          <w:rFonts w:ascii="Verdana" w:hAnsi="Verdana" w:cs="Verdana"/>
          <w:b/>
          <w:color w:val="000000"/>
          <w:sz w:val="24"/>
          <w:szCs w:val="24"/>
        </w:rPr>
      </w:pPr>
      <w:r w:rsidRPr="000A411F">
        <w:rPr>
          <w:rFonts w:ascii="Verdana" w:hAnsi="Verdana" w:cs="Verdana"/>
          <w:b/>
          <w:color w:val="000000"/>
          <w:sz w:val="24"/>
          <w:szCs w:val="24"/>
        </w:rPr>
        <w:t xml:space="preserve">Attendance Management </w:t>
      </w:r>
    </w:p>
    <w:p w14:paraId="4586857D" w14:textId="77777777" w:rsidR="00F86099" w:rsidRPr="000A411F" w:rsidRDefault="00F86099" w:rsidP="00F86099">
      <w:pPr>
        <w:autoSpaceDE w:val="0"/>
        <w:autoSpaceDN w:val="0"/>
        <w:adjustRightInd w:val="0"/>
        <w:spacing w:after="0" w:line="240" w:lineRule="auto"/>
        <w:rPr>
          <w:rFonts w:ascii="Verdana" w:hAnsi="Verdana" w:cs="Verdana"/>
          <w:color w:val="000000"/>
        </w:rPr>
      </w:pPr>
    </w:p>
    <w:p w14:paraId="559B4A6E" w14:textId="77777777" w:rsidR="00DB1CD2" w:rsidRDefault="00DB1CD2" w:rsidP="00DB1CD2">
      <w:pPr>
        <w:rPr>
          <w:rFonts w:ascii="Verdana" w:hAnsi="Verdana"/>
        </w:rPr>
      </w:pPr>
      <w:r w:rsidRPr="00DB1CD2">
        <w:rPr>
          <w:rFonts w:ascii="Verdana" w:hAnsi="Verdana"/>
        </w:rPr>
        <w:t xml:space="preserve">All long-term sickness absence cases are flagged within Human Resources, who then work with the line manager, </w:t>
      </w:r>
      <w:proofErr w:type="gramStart"/>
      <w:r w:rsidRPr="00DB1CD2">
        <w:rPr>
          <w:rFonts w:ascii="Verdana" w:hAnsi="Verdana"/>
        </w:rPr>
        <w:t>employee</w:t>
      </w:r>
      <w:proofErr w:type="gramEnd"/>
      <w:r w:rsidRPr="00DB1CD2">
        <w:rPr>
          <w:rFonts w:ascii="Verdana" w:hAnsi="Verdana"/>
        </w:rPr>
        <w:t xml:space="preserve"> and Occupational Health in managing the employee</w:t>
      </w:r>
      <w:r>
        <w:rPr>
          <w:rFonts w:ascii="Verdana" w:hAnsi="Verdana"/>
        </w:rPr>
        <w:t>’</w:t>
      </w:r>
      <w:r w:rsidRPr="00DB1CD2">
        <w:rPr>
          <w:rFonts w:ascii="Verdana" w:hAnsi="Verdana"/>
        </w:rPr>
        <w:t xml:space="preserve">s absence and return to work. All employees with over 28 days sickness absence are managed under the Attendance Management procedure and referred to Occupational Health. </w:t>
      </w:r>
    </w:p>
    <w:p w14:paraId="1CAEC2D8" w14:textId="6810550A" w:rsidR="00DB1CD2" w:rsidRPr="00DB1CD2" w:rsidRDefault="00DB1CD2" w:rsidP="00DB1CD2">
      <w:pPr>
        <w:rPr>
          <w:rFonts w:ascii="Verdana" w:hAnsi="Verdana"/>
        </w:rPr>
      </w:pPr>
      <w:r w:rsidRPr="00DB1CD2">
        <w:rPr>
          <w:rFonts w:ascii="Verdana" w:hAnsi="Verdana"/>
        </w:rPr>
        <w:t>For any sickness due to stress, anxiety or depression, the employee is automatically referred to Occupational Health regardless of the length of their absence. Occupational Health determines how work, or the workplace might impact on an employee, as well as how health or lifestyle may impact on their ability to attend work or to return to work. The Service will seek advice from Occupational Health to guide in the management and progression of a</w:t>
      </w:r>
      <w:r>
        <w:rPr>
          <w:rFonts w:ascii="Verdana" w:hAnsi="Verdana"/>
        </w:rPr>
        <w:t>n</w:t>
      </w:r>
      <w:r w:rsidRPr="00DB1CD2">
        <w:rPr>
          <w:rFonts w:ascii="Verdana" w:hAnsi="Verdana"/>
        </w:rPr>
        <w:t xml:space="preserve"> attendance management case, ensuring employees receives appropriate support.</w:t>
      </w:r>
    </w:p>
    <w:p w14:paraId="73D9F0D5" w14:textId="77777777" w:rsidR="00DB1CD2" w:rsidRPr="00DB1CD2" w:rsidRDefault="00DB1CD2" w:rsidP="00DB1CD2">
      <w:pPr>
        <w:rPr>
          <w:rFonts w:ascii="Verdana" w:hAnsi="Verdana"/>
        </w:rPr>
      </w:pPr>
      <w:r w:rsidRPr="00DB1CD2">
        <w:rPr>
          <w:rFonts w:ascii="Verdana" w:hAnsi="Verdana"/>
        </w:rPr>
        <w:t xml:space="preserve">All employees have access to the employee assistance programme, a free confidential 24/7 service, offering expert advice, </w:t>
      </w:r>
      <w:proofErr w:type="gramStart"/>
      <w:r w:rsidRPr="00DB1CD2">
        <w:rPr>
          <w:rFonts w:ascii="Verdana" w:hAnsi="Verdana"/>
        </w:rPr>
        <w:t>guidance</w:t>
      </w:r>
      <w:proofErr w:type="gramEnd"/>
      <w:r w:rsidRPr="00DB1CD2">
        <w:rPr>
          <w:rFonts w:ascii="Verdana" w:hAnsi="Verdana"/>
        </w:rPr>
        <w:t xml:space="preserve"> and support to help resolve a wide range of issues, including face to face and telephone counselling support. </w:t>
      </w:r>
    </w:p>
    <w:p w14:paraId="10EBFD28" w14:textId="64BDE596" w:rsidR="00DB1CD2" w:rsidRPr="00DB1CD2" w:rsidRDefault="00DB1CD2" w:rsidP="00DB1CD2">
      <w:pPr>
        <w:rPr>
          <w:rFonts w:ascii="Verdana" w:hAnsi="Verdana"/>
        </w:rPr>
      </w:pPr>
      <w:r w:rsidRPr="00DB1CD2">
        <w:rPr>
          <w:rFonts w:ascii="Verdana" w:hAnsi="Verdana"/>
        </w:rPr>
        <w:t>The Service’s Welfare Officer is an additional point of contact for an employee during periods of long-term sickness absences and is available to offer guidance and advice to employees if they are experiencing health related difficulties at work. The Welfare Officer, along with members of the Service’s mental wellbeing support network (another source of support) can signpost employees to appropriate wellbeing support.</w:t>
      </w:r>
    </w:p>
    <w:p w14:paraId="7D988A6C" w14:textId="19E23CB0" w:rsidR="00DB1CD2" w:rsidRPr="00DB1CD2" w:rsidRDefault="00DB1CD2" w:rsidP="00DB1CD2">
      <w:pPr>
        <w:rPr>
          <w:rFonts w:ascii="Verdana" w:hAnsi="Verdana"/>
        </w:rPr>
      </w:pPr>
      <w:r w:rsidRPr="00DB1CD2">
        <w:rPr>
          <w:rFonts w:ascii="Verdana" w:hAnsi="Verdana"/>
        </w:rPr>
        <w:t>Measures are in place to support employee</w:t>
      </w:r>
      <w:r>
        <w:rPr>
          <w:rFonts w:ascii="Verdana" w:hAnsi="Verdana"/>
        </w:rPr>
        <w:t>s</w:t>
      </w:r>
      <w:r w:rsidRPr="00DB1CD2">
        <w:rPr>
          <w:rFonts w:ascii="Verdana" w:hAnsi="Verdana"/>
        </w:rPr>
        <w:t xml:space="preserve"> and a safe place of work is provided, however muscular skeletal sickness absence resulting away from the workplace cannot be mitigated by actions taken by the Service. Working with Occupational Health, the line manager and employee, every effort is made to get the employee back to work as soon as reasonably practicable</w:t>
      </w:r>
      <w:r w:rsidR="00EF7B70">
        <w:rPr>
          <w:rFonts w:ascii="Verdana" w:hAnsi="Verdana"/>
        </w:rPr>
        <w:t>.</w:t>
      </w:r>
      <w:r w:rsidRPr="00DB1CD2">
        <w:rPr>
          <w:rFonts w:ascii="Verdana" w:hAnsi="Verdana"/>
        </w:rPr>
        <w:t xml:space="preserve"> </w:t>
      </w:r>
      <w:r w:rsidR="00EF7B70">
        <w:rPr>
          <w:rFonts w:ascii="Verdana" w:hAnsi="Verdana"/>
        </w:rPr>
        <w:t>W</w:t>
      </w:r>
      <w:r w:rsidRPr="00DB1CD2">
        <w:rPr>
          <w:rFonts w:ascii="Verdana" w:hAnsi="Verdana"/>
        </w:rPr>
        <w:t xml:space="preserve">here appropriate and when recommended by Occupational Health, physiotherapy is </w:t>
      </w:r>
      <w:r w:rsidR="00EF7B70">
        <w:rPr>
          <w:rFonts w:ascii="Verdana" w:hAnsi="Verdana"/>
        </w:rPr>
        <w:t>provided</w:t>
      </w:r>
      <w:r w:rsidRPr="00DB1CD2">
        <w:rPr>
          <w:rFonts w:ascii="Verdana" w:hAnsi="Verdana"/>
        </w:rPr>
        <w:t xml:space="preserve"> to the employee. For cases of long-term sickness absence relating to stress, </w:t>
      </w:r>
      <w:proofErr w:type="gramStart"/>
      <w:r w:rsidRPr="00DB1CD2">
        <w:rPr>
          <w:rFonts w:ascii="Verdana" w:hAnsi="Verdana"/>
        </w:rPr>
        <w:t>anxiety</w:t>
      </w:r>
      <w:proofErr w:type="gramEnd"/>
      <w:r w:rsidRPr="00DB1CD2">
        <w:rPr>
          <w:rFonts w:ascii="Verdana" w:hAnsi="Verdana"/>
        </w:rPr>
        <w:t xml:space="preserve"> and depression, and when recommended </w:t>
      </w:r>
      <w:r w:rsidR="00F33048">
        <w:rPr>
          <w:rFonts w:ascii="Verdana" w:hAnsi="Verdana"/>
        </w:rPr>
        <w:t>by</w:t>
      </w:r>
      <w:r w:rsidRPr="00DB1CD2">
        <w:rPr>
          <w:rFonts w:ascii="Verdana" w:hAnsi="Verdana"/>
        </w:rPr>
        <w:t xml:space="preserve"> Occupational Health, specialist counselling can also be provided.</w:t>
      </w:r>
    </w:p>
    <w:p w14:paraId="7792074D" w14:textId="7E5CD575" w:rsidR="00DB1CD2" w:rsidRPr="00DB1CD2" w:rsidRDefault="00DB1CD2" w:rsidP="00DB1CD2">
      <w:pPr>
        <w:rPr>
          <w:rFonts w:ascii="Verdana" w:hAnsi="Verdana"/>
        </w:rPr>
      </w:pPr>
      <w:r w:rsidRPr="00DB1CD2">
        <w:rPr>
          <w:rFonts w:ascii="Verdana" w:hAnsi="Verdana"/>
        </w:rPr>
        <w:t xml:space="preserve">The Service’s Attendance Management procedure has been updated for 2021 and training is being rolled out to line managers to assist with the knowledge and understanding of this document, with the aim of ensuring the effective management of sickness absence and maximising attendance at work, ensuring </w:t>
      </w:r>
      <w:r w:rsidRPr="00DB1CD2">
        <w:rPr>
          <w:rFonts w:ascii="Verdana" w:hAnsi="Verdana"/>
        </w:rPr>
        <w:lastRenderedPageBreak/>
        <w:t>timely interventions to provide appropriate support and minimise the disruption to service delivery caused by sickness absence</w:t>
      </w:r>
      <w:r>
        <w:rPr>
          <w:rFonts w:ascii="Verdana" w:hAnsi="Verdana"/>
        </w:rPr>
        <w:t>.</w:t>
      </w:r>
      <w:r w:rsidRPr="00DB1CD2">
        <w:rPr>
          <w:rFonts w:ascii="Verdana" w:hAnsi="Verdana"/>
        </w:rPr>
        <w:t xml:space="preserve"> </w:t>
      </w:r>
    </w:p>
    <w:p w14:paraId="13EBBFE3" w14:textId="54FCD636" w:rsidR="00743928" w:rsidRPr="009C7F66" w:rsidRDefault="002D69E1" w:rsidP="008825FC">
      <w:pPr>
        <w:rPr>
          <w:rFonts w:ascii="Verdana" w:hAnsi="Verdana"/>
          <w:noProof/>
          <w:sz w:val="44"/>
          <w:szCs w:val="44"/>
          <w:lang w:eastAsia="en-GB"/>
        </w:rPr>
      </w:pPr>
      <w:r w:rsidRPr="00795476">
        <w:rPr>
          <w:rFonts w:ascii="Verdana" w:hAnsi="Verdana"/>
          <w:noProof/>
          <w:sz w:val="44"/>
          <w:szCs w:val="44"/>
          <w:lang w:eastAsia="en-GB"/>
        </w:rPr>
        <w:t>Blue Light Hub</w:t>
      </w:r>
    </w:p>
    <w:p w14:paraId="4E766CEE" w14:textId="7A84B725" w:rsidR="009E4D41" w:rsidRDefault="002A03E8" w:rsidP="008825FC">
      <w:pPr>
        <w:rPr>
          <w:rFonts w:ascii="Verdana" w:hAnsi="Verdana"/>
          <w:noProof/>
          <w:lang w:eastAsia="en-GB"/>
        </w:rPr>
      </w:pPr>
      <w:r>
        <w:rPr>
          <w:rFonts w:ascii="Verdana" w:hAnsi="Verdana"/>
          <w:noProof/>
          <w:lang w:eastAsia="en-GB"/>
        </w:rPr>
        <w:t xml:space="preserve">Crews from Great Holm and </w:t>
      </w:r>
      <w:r w:rsidR="00177AF4">
        <w:rPr>
          <w:rFonts w:ascii="Verdana" w:hAnsi="Verdana"/>
          <w:noProof/>
          <w:lang w:eastAsia="en-GB"/>
        </w:rPr>
        <w:t xml:space="preserve">Bletchley fire stations moved into their new home at West Ashland </w:t>
      </w:r>
      <w:r w:rsidR="00FA437C">
        <w:rPr>
          <w:rFonts w:ascii="Verdana" w:hAnsi="Verdana"/>
          <w:noProof/>
          <w:lang w:eastAsia="en-GB"/>
        </w:rPr>
        <w:t>F</w:t>
      </w:r>
      <w:r w:rsidR="00E661B8">
        <w:rPr>
          <w:rFonts w:ascii="Verdana" w:hAnsi="Verdana"/>
          <w:noProof/>
          <w:lang w:eastAsia="en-GB"/>
        </w:rPr>
        <w:t xml:space="preserve">ire </w:t>
      </w:r>
      <w:r w:rsidR="00FA437C">
        <w:rPr>
          <w:rFonts w:ascii="Verdana" w:hAnsi="Verdana"/>
          <w:noProof/>
          <w:lang w:eastAsia="en-GB"/>
        </w:rPr>
        <w:t>S</w:t>
      </w:r>
      <w:r w:rsidR="00E661B8">
        <w:rPr>
          <w:rFonts w:ascii="Verdana" w:hAnsi="Verdana"/>
          <w:noProof/>
          <w:lang w:eastAsia="en-GB"/>
        </w:rPr>
        <w:t xml:space="preserve">tation within the </w:t>
      </w:r>
      <w:r w:rsidR="00D77264">
        <w:rPr>
          <w:rFonts w:ascii="Verdana" w:hAnsi="Verdana"/>
          <w:noProof/>
          <w:lang w:eastAsia="en-GB"/>
        </w:rPr>
        <w:t>B</w:t>
      </w:r>
      <w:r w:rsidR="00E661B8">
        <w:rPr>
          <w:rFonts w:ascii="Verdana" w:hAnsi="Verdana"/>
          <w:noProof/>
          <w:lang w:eastAsia="en-GB"/>
        </w:rPr>
        <w:t xml:space="preserve">lue </w:t>
      </w:r>
      <w:r w:rsidR="00D77264">
        <w:rPr>
          <w:rFonts w:ascii="Verdana" w:hAnsi="Verdana"/>
          <w:noProof/>
          <w:lang w:eastAsia="en-GB"/>
        </w:rPr>
        <w:t>L</w:t>
      </w:r>
      <w:r w:rsidR="00E661B8">
        <w:rPr>
          <w:rFonts w:ascii="Verdana" w:hAnsi="Verdana"/>
          <w:noProof/>
          <w:lang w:eastAsia="en-GB"/>
        </w:rPr>
        <w:t xml:space="preserve">ight </w:t>
      </w:r>
      <w:r w:rsidR="00D77264">
        <w:rPr>
          <w:rFonts w:ascii="Verdana" w:hAnsi="Verdana"/>
          <w:noProof/>
          <w:lang w:eastAsia="en-GB"/>
        </w:rPr>
        <w:t>H</w:t>
      </w:r>
      <w:r w:rsidR="00E661B8">
        <w:rPr>
          <w:rFonts w:ascii="Verdana" w:hAnsi="Verdana"/>
          <w:noProof/>
          <w:lang w:eastAsia="en-GB"/>
        </w:rPr>
        <w:t xml:space="preserve">ub </w:t>
      </w:r>
      <w:r w:rsidR="00177AF4">
        <w:rPr>
          <w:rFonts w:ascii="Verdana" w:hAnsi="Verdana"/>
          <w:noProof/>
          <w:lang w:eastAsia="en-GB"/>
        </w:rPr>
        <w:t>on 30</w:t>
      </w:r>
      <w:r w:rsidR="00177AF4">
        <w:rPr>
          <w:rFonts w:ascii="Verdana" w:hAnsi="Verdana"/>
          <w:noProof/>
          <w:vertAlign w:val="superscript"/>
          <w:lang w:eastAsia="en-GB"/>
        </w:rPr>
        <w:t xml:space="preserve"> </w:t>
      </w:r>
      <w:r w:rsidR="00177AF4">
        <w:rPr>
          <w:rFonts w:ascii="Verdana" w:hAnsi="Verdana"/>
          <w:noProof/>
          <w:lang w:eastAsia="en-GB"/>
        </w:rPr>
        <w:t>June 2020</w:t>
      </w:r>
      <w:r w:rsidR="00C5714A">
        <w:rPr>
          <w:rFonts w:ascii="Verdana" w:hAnsi="Verdana"/>
          <w:noProof/>
          <w:lang w:eastAsia="en-GB"/>
        </w:rPr>
        <w:t xml:space="preserve">. The move went well and </w:t>
      </w:r>
      <w:r w:rsidR="003178DD">
        <w:rPr>
          <w:rFonts w:ascii="Verdana" w:hAnsi="Verdana"/>
          <w:noProof/>
          <w:lang w:eastAsia="en-GB"/>
        </w:rPr>
        <w:t xml:space="preserve">alerting crews to emergency incidents </w:t>
      </w:r>
      <w:r w:rsidR="00E85BD4">
        <w:rPr>
          <w:rFonts w:ascii="Verdana" w:hAnsi="Verdana"/>
          <w:noProof/>
          <w:lang w:eastAsia="en-GB"/>
        </w:rPr>
        <w:t>during the switch was seamless.</w:t>
      </w:r>
      <w:r w:rsidR="00C0648F">
        <w:rPr>
          <w:rFonts w:ascii="Verdana" w:hAnsi="Verdana"/>
          <w:noProof/>
          <w:lang w:eastAsia="en-GB"/>
        </w:rPr>
        <w:t xml:space="preserve"> Overall, they were very happy with the</w:t>
      </w:r>
      <w:r w:rsidR="00D03829">
        <w:rPr>
          <w:rFonts w:ascii="Verdana" w:hAnsi="Verdana"/>
          <w:noProof/>
          <w:lang w:eastAsia="en-GB"/>
        </w:rPr>
        <w:t xml:space="preserve">ir new facilities and </w:t>
      </w:r>
      <w:r w:rsidR="0062280C">
        <w:rPr>
          <w:rFonts w:ascii="Verdana" w:hAnsi="Verdana"/>
          <w:noProof/>
          <w:lang w:eastAsia="en-GB"/>
        </w:rPr>
        <w:t xml:space="preserve">settled in quickly. </w:t>
      </w:r>
    </w:p>
    <w:p w14:paraId="24AF37BF" w14:textId="79C085B3" w:rsidR="00675BFE" w:rsidRDefault="00C64CBA" w:rsidP="00795476">
      <w:pPr>
        <w:rPr>
          <w:rFonts w:ascii="Verdana" w:hAnsi="Verdana"/>
          <w:noProof/>
          <w:lang w:eastAsia="en-GB"/>
        </w:rPr>
      </w:pPr>
      <w:r>
        <w:rPr>
          <w:rFonts w:ascii="Verdana" w:hAnsi="Verdana"/>
          <w:noProof/>
          <w:lang w:eastAsia="en-GB"/>
        </w:rPr>
        <w:t xml:space="preserve">In </w:t>
      </w:r>
      <w:r w:rsidR="00D66351" w:rsidRPr="004300A1">
        <w:rPr>
          <w:rFonts w:ascii="Verdana" w:hAnsi="Verdana"/>
          <w:noProof/>
          <w:lang w:eastAsia="en-GB"/>
        </w:rPr>
        <w:t>October</w:t>
      </w:r>
      <w:r w:rsidR="00284EEE" w:rsidRPr="004300A1">
        <w:rPr>
          <w:rFonts w:ascii="Verdana" w:hAnsi="Verdana"/>
          <w:noProof/>
          <w:lang w:eastAsia="en-GB"/>
        </w:rPr>
        <w:t xml:space="preserve"> 2020</w:t>
      </w:r>
      <w:r w:rsidR="00284EEE">
        <w:rPr>
          <w:rFonts w:ascii="Verdana" w:hAnsi="Verdana"/>
          <w:noProof/>
          <w:lang w:eastAsia="en-GB"/>
        </w:rPr>
        <w:t xml:space="preserve"> </w:t>
      </w:r>
      <w:r w:rsidR="009E4D41">
        <w:rPr>
          <w:rFonts w:ascii="Verdana" w:hAnsi="Verdana"/>
          <w:noProof/>
          <w:lang w:eastAsia="en-GB"/>
        </w:rPr>
        <w:t xml:space="preserve">South Central Ambulance Service (SCAS) </w:t>
      </w:r>
      <w:r w:rsidR="00917F85">
        <w:rPr>
          <w:rFonts w:ascii="Verdana" w:hAnsi="Verdana"/>
          <w:noProof/>
          <w:lang w:eastAsia="en-GB"/>
        </w:rPr>
        <w:t>moved in</w:t>
      </w:r>
      <w:r w:rsidR="00284EEE">
        <w:rPr>
          <w:rFonts w:ascii="Verdana" w:hAnsi="Verdana"/>
          <w:noProof/>
          <w:lang w:eastAsia="en-GB"/>
        </w:rPr>
        <w:t xml:space="preserve"> and were joined by Thames Valley Police (TVP) in </w:t>
      </w:r>
      <w:r w:rsidR="00284EEE" w:rsidRPr="004300A1">
        <w:rPr>
          <w:rFonts w:ascii="Verdana" w:hAnsi="Verdana"/>
          <w:noProof/>
          <w:lang w:eastAsia="en-GB"/>
        </w:rPr>
        <w:t>February 2021</w:t>
      </w:r>
      <w:r w:rsidR="00284EEE">
        <w:rPr>
          <w:rFonts w:ascii="Verdana" w:hAnsi="Verdana"/>
          <w:noProof/>
          <w:lang w:eastAsia="en-GB"/>
        </w:rPr>
        <w:t xml:space="preserve">. </w:t>
      </w:r>
      <w:r w:rsidR="00381C6B">
        <w:rPr>
          <w:rFonts w:ascii="Verdana" w:hAnsi="Verdana"/>
          <w:noProof/>
          <w:lang w:eastAsia="en-GB"/>
        </w:rPr>
        <w:t xml:space="preserve">Having all three emergency services under one roof has proved </w:t>
      </w:r>
      <w:r w:rsidR="00EF084A">
        <w:rPr>
          <w:rFonts w:ascii="Verdana" w:hAnsi="Verdana"/>
          <w:noProof/>
          <w:lang w:eastAsia="en-GB"/>
        </w:rPr>
        <w:t xml:space="preserve">very </w:t>
      </w:r>
      <w:r w:rsidR="00B736D4">
        <w:rPr>
          <w:rFonts w:ascii="Verdana" w:hAnsi="Verdana"/>
          <w:noProof/>
          <w:lang w:eastAsia="en-GB"/>
        </w:rPr>
        <w:t>beneficial as crews are able to train together regularly</w:t>
      </w:r>
      <w:r w:rsidR="0043344B">
        <w:rPr>
          <w:rFonts w:ascii="Verdana" w:hAnsi="Verdana"/>
          <w:noProof/>
          <w:lang w:eastAsia="en-GB"/>
        </w:rPr>
        <w:t xml:space="preserve"> with each gaining a greater understanding of </w:t>
      </w:r>
      <w:r w:rsidR="001254A9">
        <w:rPr>
          <w:rFonts w:ascii="Verdana" w:hAnsi="Verdana"/>
          <w:noProof/>
          <w:lang w:eastAsia="en-GB"/>
        </w:rPr>
        <w:t xml:space="preserve">the way </w:t>
      </w:r>
      <w:r w:rsidR="00AB4994">
        <w:rPr>
          <w:rFonts w:ascii="Verdana" w:hAnsi="Verdana"/>
          <w:noProof/>
          <w:lang w:eastAsia="en-GB"/>
        </w:rPr>
        <w:t>each service works</w:t>
      </w:r>
      <w:r w:rsidR="0026026B">
        <w:rPr>
          <w:rFonts w:ascii="Verdana" w:hAnsi="Verdana"/>
          <w:noProof/>
          <w:lang w:eastAsia="en-GB"/>
        </w:rPr>
        <w:t xml:space="preserve"> which </w:t>
      </w:r>
      <w:r w:rsidR="00C03512">
        <w:rPr>
          <w:rFonts w:ascii="Verdana" w:hAnsi="Verdana"/>
          <w:noProof/>
          <w:lang w:eastAsia="en-GB"/>
        </w:rPr>
        <w:t xml:space="preserve">can only be advantageous </w:t>
      </w:r>
      <w:r w:rsidR="00E95E70">
        <w:rPr>
          <w:rFonts w:ascii="Verdana" w:hAnsi="Verdana"/>
          <w:noProof/>
          <w:lang w:eastAsia="en-GB"/>
        </w:rPr>
        <w:t xml:space="preserve">in delivering shared </w:t>
      </w:r>
      <w:r w:rsidR="0070146A">
        <w:rPr>
          <w:rFonts w:ascii="Verdana" w:hAnsi="Verdana"/>
          <w:noProof/>
          <w:lang w:eastAsia="en-GB"/>
        </w:rPr>
        <w:t>objectives</w:t>
      </w:r>
      <w:r w:rsidR="00AB4994">
        <w:rPr>
          <w:rFonts w:ascii="Verdana" w:hAnsi="Verdana"/>
          <w:noProof/>
          <w:lang w:eastAsia="en-GB"/>
        </w:rPr>
        <w:t>.</w:t>
      </w:r>
      <w:r w:rsidR="00E96244">
        <w:rPr>
          <w:rFonts w:ascii="Verdana" w:hAnsi="Verdana"/>
          <w:noProof/>
          <w:lang w:eastAsia="en-GB"/>
        </w:rPr>
        <w:t xml:space="preserve"> </w:t>
      </w:r>
      <w:r w:rsidR="00A523A3">
        <w:rPr>
          <w:rFonts w:ascii="Verdana" w:hAnsi="Verdana"/>
          <w:noProof/>
          <w:lang w:eastAsia="en-GB"/>
        </w:rPr>
        <w:t xml:space="preserve">Another benefit </w:t>
      </w:r>
      <w:r w:rsidR="001254A9">
        <w:rPr>
          <w:rFonts w:ascii="Verdana" w:hAnsi="Verdana"/>
          <w:noProof/>
          <w:lang w:eastAsia="en-GB"/>
        </w:rPr>
        <w:t xml:space="preserve">realised </w:t>
      </w:r>
      <w:r w:rsidR="00A523A3">
        <w:rPr>
          <w:rFonts w:ascii="Verdana" w:hAnsi="Verdana"/>
          <w:noProof/>
          <w:lang w:eastAsia="en-GB"/>
        </w:rPr>
        <w:t>is the abili</w:t>
      </w:r>
      <w:r w:rsidR="001254A9">
        <w:rPr>
          <w:rFonts w:ascii="Verdana" w:hAnsi="Verdana"/>
          <w:noProof/>
          <w:lang w:eastAsia="en-GB"/>
        </w:rPr>
        <w:t xml:space="preserve">lty to network and collaborate. An example being the </w:t>
      </w:r>
      <w:r w:rsidR="005B59D1">
        <w:rPr>
          <w:rFonts w:ascii="Verdana" w:hAnsi="Verdana"/>
          <w:noProof/>
          <w:lang w:eastAsia="en-GB"/>
        </w:rPr>
        <w:t>procurement of tri service COVID signage</w:t>
      </w:r>
      <w:r w:rsidR="002D6222">
        <w:rPr>
          <w:rFonts w:ascii="Verdana" w:hAnsi="Verdana"/>
          <w:noProof/>
          <w:lang w:eastAsia="en-GB"/>
        </w:rPr>
        <w:t xml:space="preserve"> displayed throughout the </w:t>
      </w:r>
      <w:r w:rsidR="00E661B8">
        <w:rPr>
          <w:rFonts w:ascii="Verdana" w:hAnsi="Verdana"/>
          <w:noProof/>
          <w:lang w:eastAsia="en-GB"/>
        </w:rPr>
        <w:t xml:space="preserve">blue light hub. All </w:t>
      </w:r>
      <w:r w:rsidR="00B7302A">
        <w:rPr>
          <w:rFonts w:ascii="Verdana" w:hAnsi="Verdana"/>
          <w:noProof/>
          <w:lang w:eastAsia="en-GB"/>
        </w:rPr>
        <w:t>s</w:t>
      </w:r>
      <w:r w:rsidR="00E661B8">
        <w:rPr>
          <w:rFonts w:ascii="Verdana" w:hAnsi="Verdana"/>
          <w:noProof/>
          <w:lang w:eastAsia="en-GB"/>
        </w:rPr>
        <w:t xml:space="preserve">ervices agree this is an effective </w:t>
      </w:r>
      <w:r w:rsidR="007C03E5">
        <w:rPr>
          <w:rFonts w:ascii="Verdana" w:hAnsi="Verdana"/>
          <w:noProof/>
          <w:lang w:eastAsia="en-GB"/>
        </w:rPr>
        <w:t>and cohesive way of working.</w:t>
      </w:r>
    </w:p>
    <w:p w14:paraId="5E74628E" w14:textId="7509C66F" w:rsidR="007C03E5" w:rsidRDefault="007814D3" w:rsidP="00795476">
      <w:pPr>
        <w:rPr>
          <w:rFonts w:ascii="Verdana" w:hAnsi="Verdana"/>
          <w:noProof/>
          <w:lang w:eastAsia="en-GB"/>
        </w:rPr>
      </w:pPr>
      <w:r w:rsidRPr="00150AE7">
        <w:rPr>
          <w:rFonts w:ascii="Verdana" w:hAnsi="Verdana"/>
          <w:noProof/>
          <w:lang w:eastAsia="en-GB"/>
        </w:rPr>
        <w:t xml:space="preserve">Bletchley fire station has been sold and Great Holm has been sold subject to </w:t>
      </w:r>
      <w:r w:rsidR="006830A2">
        <w:rPr>
          <w:rFonts w:ascii="Verdana" w:hAnsi="Verdana"/>
          <w:noProof/>
          <w:lang w:eastAsia="en-GB"/>
        </w:rPr>
        <w:t xml:space="preserve">contract and </w:t>
      </w:r>
      <w:r w:rsidRPr="00150AE7">
        <w:rPr>
          <w:rFonts w:ascii="Verdana" w:hAnsi="Verdana"/>
          <w:noProof/>
          <w:lang w:eastAsia="en-GB"/>
        </w:rPr>
        <w:t>planning approval</w:t>
      </w:r>
      <w:r w:rsidR="00150AE7" w:rsidRPr="00150AE7">
        <w:rPr>
          <w:rFonts w:ascii="Verdana" w:hAnsi="Verdana"/>
          <w:noProof/>
          <w:lang w:eastAsia="en-GB"/>
        </w:rPr>
        <w:t>.</w:t>
      </w:r>
    </w:p>
    <w:p w14:paraId="50A06564" w14:textId="18441709" w:rsidR="000A121C" w:rsidRPr="00F96250" w:rsidRDefault="006C212E" w:rsidP="00DF16FA">
      <w:pPr>
        <w:rPr>
          <w:rFonts w:ascii="Verdana" w:hAnsi="Verdana"/>
          <w:noProof/>
          <w:lang w:eastAsia="en-GB"/>
        </w:rPr>
      </w:pPr>
      <w:r w:rsidRPr="00301EC0">
        <w:rPr>
          <w:rFonts w:ascii="Verdana" w:hAnsi="Verdana"/>
          <w:sz w:val="44"/>
          <w:szCs w:val="44"/>
        </w:rPr>
        <w:t>Risk Management</w:t>
      </w:r>
    </w:p>
    <w:p w14:paraId="345E9867" w14:textId="665D4558" w:rsidR="00AF182F" w:rsidRDefault="0035735A" w:rsidP="003E2954">
      <w:pPr>
        <w:rPr>
          <w:rFonts w:ascii="Verdana" w:hAnsi="Verdana"/>
          <w:bCs/>
        </w:rPr>
      </w:pPr>
      <w:r>
        <w:rPr>
          <w:rFonts w:ascii="Verdana" w:hAnsi="Verdana"/>
          <w:b/>
        </w:rPr>
        <w:t xml:space="preserve">Health and Safety audits – </w:t>
      </w:r>
      <w:r w:rsidR="002E608F">
        <w:rPr>
          <w:rFonts w:ascii="Verdana" w:hAnsi="Verdana"/>
          <w:bCs/>
        </w:rPr>
        <w:t xml:space="preserve">these are carried out across all stations and sites on an annual basis and </w:t>
      </w:r>
      <w:r w:rsidR="005828C4">
        <w:rPr>
          <w:rFonts w:ascii="Verdana" w:hAnsi="Verdana"/>
          <w:bCs/>
        </w:rPr>
        <w:t>cover the following</w:t>
      </w:r>
      <w:r w:rsidR="00EE60F9">
        <w:rPr>
          <w:rFonts w:ascii="Verdana" w:hAnsi="Verdana"/>
          <w:bCs/>
        </w:rPr>
        <w:t>:</w:t>
      </w:r>
    </w:p>
    <w:p w14:paraId="233A3C27" w14:textId="2ABBA03E" w:rsidR="00EE60F9" w:rsidRDefault="003F4949" w:rsidP="00EE60F9">
      <w:pPr>
        <w:pStyle w:val="ListParagraph"/>
        <w:numPr>
          <w:ilvl w:val="0"/>
          <w:numId w:val="43"/>
        </w:numPr>
        <w:rPr>
          <w:rFonts w:ascii="Verdana" w:hAnsi="Verdana"/>
          <w:bCs/>
        </w:rPr>
      </w:pPr>
      <w:r>
        <w:rPr>
          <w:rFonts w:ascii="Verdana" w:hAnsi="Verdana"/>
          <w:bCs/>
        </w:rPr>
        <w:t>Policies and procedures</w:t>
      </w:r>
    </w:p>
    <w:p w14:paraId="7AFF32FA" w14:textId="4F06F9A3" w:rsidR="003F4949" w:rsidRDefault="003F4949" w:rsidP="00EE60F9">
      <w:pPr>
        <w:pStyle w:val="ListParagraph"/>
        <w:numPr>
          <w:ilvl w:val="0"/>
          <w:numId w:val="43"/>
        </w:numPr>
        <w:rPr>
          <w:rFonts w:ascii="Verdana" w:hAnsi="Verdana"/>
          <w:bCs/>
        </w:rPr>
      </w:pPr>
      <w:r>
        <w:rPr>
          <w:rFonts w:ascii="Verdana" w:hAnsi="Verdana"/>
          <w:bCs/>
        </w:rPr>
        <w:t>Premises</w:t>
      </w:r>
    </w:p>
    <w:p w14:paraId="59A3BE27" w14:textId="35604982" w:rsidR="003F4949" w:rsidRDefault="003F4949" w:rsidP="00EE60F9">
      <w:pPr>
        <w:pStyle w:val="ListParagraph"/>
        <w:numPr>
          <w:ilvl w:val="0"/>
          <w:numId w:val="43"/>
        </w:numPr>
        <w:rPr>
          <w:rFonts w:ascii="Verdana" w:hAnsi="Verdana"/>
          <w:bCs/>
        </w:rPr>
      </w:pPr>
      <w:r>
        <w:rPr>
          <w:rFonts w:ascii="Verdana" w:hAnsi="Verdana"/>
          <w:bCs/>
        </w:rPr>
        <w:t>People</w:t>
      </w:r>
    </w:p>
    <w:p w14:paraId="49F0C3E3" w14:textId="1C5CF630" w:rsidR="003F4949" w:rsidRDefault="003F4949" w:rsidP="00EE60F9">
      <w:pPr>
        <w:pStyle w:val="ListParagraph"/>
        <w:numPr>
          <w:ilvl w:val="0"/>
          <w:numId w:val="43"/>
        </w:numPr>
        <w:rPr>
          <w:rFonts w:ascii="Verdana" w:hAnsi="Verdana"/>
          <w:bCs/>
        </w:rPr>
      </w:pPr>
      <w:r>
        <w:rPr>
          <w:rFonts w:ascii="Verdana" w:hAnsi="Verdana"/>
          <w:bCs/>
        </w:rPr>
        <w:t>Plant</w:t>
      </w:r>
    </w:p>
    <w:p w14:paraId="355D5E90" w14:textId="0127E992" w:rsidR="003F4949" w:rsidRDefault="00876470" w:rsidP="00EE60F9">
      <w:pPr>
        <w:pStyle w:val="ListParagraph"/>
        <w:numPr>
          <w:ilvl w:val="0"/>
          <w:numId w:val="43"/>
        </w:numPr>
        <w:rPr>
          <w:rFonts w:ascii="Verdana" w:hAnsi="Verdana"/>
          <w:bCs/>
        </w:rPr>
      </w:pPr>
      <w:r>
        <w:rPr>
          <w:rFonts w:ascii="Verdana" w:hAnsi="Verdana"/>
          <w:bCs/>
        </w:rPr>
        <w:t>Working safely with COVID-19</w:t>
      </w:r>
    </w:p>
    <w:p w14:paraId="73382CC6" w14:textId="6BAE03E4" w:rsidR="00876470" w:rsidRPr="00EE60F9" w:rsidRDefault="00876470" w:rsidP="00EE60F9">
      <w:pPr>
        <w:pStyle w:val="ListParagraph"/>
        <w:numPr>
          <w:ilvl w:val="0"/>
          <w:numId w:val="43"/>
        </w:numPr>
        <w:rPr>
          <w:rFonts w:ascii="Verdana" w:hAnsi="Verdana"/>
          <w:bCs/>
        </w:rPr>
      </w:pPr>
      <w:r>
        <w:rPr>
          <w:rFonts w:ascii="Verdana" w:hAnsi="Verdana"/>
          <w:bCs/>
        </w:rPr>
        <w:t>Question set designed to test health and safety knowledge amongst employees</w:t>
      </w:r>
    </w:p>
    <w:p w14:paraId="3BBAA69E" w14:textId="4CA13ABD" w:rsidR="00876470" w:rsidRDefault="00876470" w:rsidP="000B79F6">
      <w:pPr>
        <w:pStyle w:val="NormalWeb"/>
        <w:spacing w:line="276" w:lineRule="auto"/>
        <w:rPr>
          <w:rFonts w:ascii="Verdana" w:hAnsi="Verdana"/>
          <w:bCs/>
          <w:sz w:val="22"/>
          <w:szCs w:val="22"/>
        </w:rPr>
      </w:pPr>
      <w:r>
        <w:rPr>
          <w:rFonts w:ascii="Verdana" w:hAnsi="Verdana"/>
          <w:bCs/>
          <w:sz w:val="22"/>
          <w:szCs w:val="22"/>
        </w:rPr>
        <w:t xml:space="preserve">These audits are conducted by </w:t>
      </w:r>
      <w:r w:rsidR="0090558D">
        <w:rPr>
          <w:rFonts w:ascii="Verdana" w:hAnsi="Verdana"/>
          <w:bCs/>
          <w:sz w:val="22"/>
          <w:szCs w:val="22"/>
        </w:rPr>
        <w:t xml:space="preserve">the Station Commander or site manager who must be NEBOSH General Certificate qualified. </w:t>
      </w:r>
      <w:r w:rsidR="002E188F">
        <w:rPr>
          <w:rFonts w:ascii="Verdana" w:hAnsi="Verdana"/>
          <w:bCs/>
          <w:sz w:val="22"/>
          <w:szCs w:val="22"/>
        </w:rPr>
        <w:t xml:space="preserve">On submission of the completed audit both the Health and Safety and Property teams devise an action plan to remedy any issues that have been highlighted. Outcomes and progress on the identified actions are </w:t>
      </w:r>
      <w:r w:rsidR="00301EC0">
        <w:rPr>
          <w:rFonts w:ascii="Verdana" w:hAnsi="Verdana"/>
          <w:bCs/>
          <w:sz w:val="22"/>
          <w:szCs w:val="22"/>
        </w:rPr>
        <w:t xml:space="preserve">discussed at the quarterly Health, Safety and </w:t>
      </w:r>
      <w:r w:rsidR="005F52B4">
        <w:rPr>
          <w:rFonts w:ascii="Verdana" w:hAnsi="Verdana"/>
          <w:bCs/>
          <w:sz w:val="22"/>
          <w:szCs w:val="22"/>
        </w:rPr>
        <w:t>Wellbeing</w:t>
      </w:r>
      <w:r w:rsidR="00301EC0">
        <w:rPr>
          <w:rFonts w:ascii="Verdana" w:hAnsi="Verdana"/>
          <w:bCs/>
          <w:sz w:val="22"/>
          <w:szCs w:val="22"/>
        </w:rPr>
        <w:t xml:space="preserve"> Committee meetings.</w:t>
      </w:r>
    </w:p>
    <w:p w14:paraId="11C10317" w14:textId="4AB5E885" w:rsidR="00764EB7" w:rsidRDefault="00764EB7" w:rsidP="000B79F6">
      <w:pPr>
        <w:pStyle w:val="NormalWeb"/>
        <w:spacing w:line="276" w:lineRule="auto"/>
        <w:rPr>
          <w:rFonts w:ascii="Verdana" w:hAnsi="Verdana"/>
          <w:bCs/>
          <w:sz w:val="22"/>
          <w:szCs w:val="22"/>
        </w:rPr>
      </w:pPr>
      <w:r>
        <w:rPr>
          <w:rFonts w:ascii="Verdana" w:hAnsi="Verdana"/>
          <w:b/>
          <w:sz w:val="22"/>
          <w:szCs w:val="22"/>
        </w:rPr>
        <w:lastRenderedPageBreak/>
        <w:t>Risk Assessments –</w:t>
      </w:r>
      <w:r>
        <w:rPr>
          <w:rFonts w:ascii="Verdana" w:hAnsi="Verdana"/>
          <w:bCs/>
          <w:sz w:val="22"/>
          <w:szCs w:val="22"/>
        </w:rPr>
        <w:t xml:space="preserve"> Following the recent firefighter fatalities in Mid and West Wales and West Midlands </w:t>
      </w:r>
      <w:r w:rsidR="00E748E4">
        <w:rPr>
          <w:rFonts w:ascii="Verdana" w:hAnsi="Verdana"/>
          <w:bCs/>
          <w:sz w:val="22"/>
          <w:szCs w:val="22"/>
        </w:rPr>
        <w:t>whilst conducting training</w:t>
      </w:r>
      <w:r w:rsidR="00B3345D">
        <w:rPr>
          <w:rFonts w:ascii="Verdana" w:hAnsi="Verdana"/>
          <w:bCs/>
          <w:sz w:val="22"/>
          <w:szCs w:val="22"/>
        </w:rPr>
        <w:t>,</w:t>
      </w:r>
      <w:r w:rsidR="00E748E4">
        <w:rPr>
          <w:rFonts w:ascii="Verdana" w:hAnsi="Verdana"/>
          <w:bCs/>
          <w:sz w:val="22"/>
          <w:szCs w:val="22"/>
        </w:rPr>
        <w:t xml:space="preserve"> the HSE have commenced a year long period of inspecting fire and rescue services</w:t>
      </w:r>
      <w:r w:rsidR="0090160E">
        <w:rPr>
          <w:rFonts w:ascii="Verdana" w:hAnsi="Verdana"/>
          <w:bCs/>
          <w:sz w:val="22"/>
          <w:szCs w:val="22"/>
        </w:rPr>
        <w:t xml:space="preserve">. Their </w:t>
      </w:r>
      <w:proofErr w:type="gramStart"/>
      <w:r w:rsidR="0090160E">
        <w:rPr>
          <w:rFonts w:ascii="Verdana" w:hAnsi="Verdana"/>
          <w:bCs/>
          <w:sz w:val="22"/>
          <w:szCs w:val="22"/>
        </w:rPr>
        <w:t>main focus</w:t>
      </w:r>
      <w:proofErr w:type="gramEnd"/>
      <w:r w:rsidR="0090160E">
        <w:rPr>
          <w:rFonts w:ascii="Verdana" w:hAnsi="Verdana"/>
          <w:bCs/>
          <w:sz w:val="22"/>
          <w:szCs w:val="22"/>
        </w:rPr>
        <w:t xml:space="preserve"> </w:t>
      </w:r>
      <w:r w:rsidR="00B3345D">
        <w:rPr>
          <w:rFonts w:ascii="Verdana" w:hAnsi="Verdana"/>
          <w:bCs/>
          <w:sz w:val="22"/>
          <w:szCs w:val="22"/>
        </w:rPr>
        <w:t>is to</w:t>
      </w:r>
      <w:r w:rsidR="0090160E">
        <w:rPr>
          <w:rFonts w:ascii="Verdana" w:hAnsi="Verdana"/>
          <w:bCs/>
          <w:sz w:val="22"/>
          <w:szCs w:val="22"/>
        </w:rPr>
        <w:t xml:space="preserve"> observe internal and external training activities and to </w:t>
      </w:r>
      <w:r w:rsidR="00B3345D">
        <w:rPr>
          <w:rFonts w:ascii="Verdana" w:hAnsi="Verdana"/>
          <w:bCs/>
          <w:sz w:val="22"/>
          <w:szCs w:val="22"/>
        </w:rPr>
        <w:t xml:space="preserve">scrutinise the associated risk assessments to determine if they are suitable and sufficient. If </w:t>
      </w:r>
      <w:r w:rsidR="00487481">
        <w:rPr>
          <w:rFonts w:ascii="Verdana" w:hAnsi="Verdana"/>
          <w:bCs/>
          <w:sz w:val="22"/>
          <w:szCs w:val="22"/>
        </w:rPr>
        <w:t>FRSs</w:t>
      </w:r>
      <w:r w:rsidR="00790720">
        <w:rPr>
          <w:rFonts w:ascii="Verdana" w:hAnsi="Verdana"/>
          <w:bCs/>
          <w:sz w:val="22"/>
          <w:szCs w:val="22"/>
        </w:rPr>
        <w:t xml:space="preserve"> are found lacking enforcement action could be taken.</w:t>
      </w:r>
    </w:p>
    <w:p w14:paraId="76466442" w14:textId="6FABFC14" w:rsidR="0007144E" w:rsidRDefault="00790720" w:rsidP="000B79F6">
      <w:pPr>
        <w:pStyle w:val="NormalWeb"/>
        <w:spacing w:line="276" w:lineRule="auto"/>
        <w:rPr>
          <w:rFonts w:ascii="Verdana" w:hAnsi="Verdana"/>
          <w:bCs/>
          <w:sz w:val="22"/>
          <w:szCs w:val="22"/>
        </w:rPr>
      </w:pPr>
      <w:r>
        <w:rPr>
          <w:rFonts w:ascii="Verdana" w:hAnsi="Verdana"/>
          <w:bCs/>
          <w:sz w:val="22"/>
          <w:szCs w:val="22"/>
        </w:rPr>
        <w:t>The health and safety team have communica</w:t>
      </w:r>
      <w:r w:rsidR="005B47A3">
        <w:rPr>
          <w:rFonts w:ascii="Verdana" w:hAnsi="Verdana"/>
          <w:bCs/>
          <w:sz w:val="22"/>
          <w:szCs w:val="22"/>
        </w:rPr>
        <w:t xml:space="preserve">ted this to all stations and have instructed that there must be a suitable and sufficient risk assessment in place whenever training activities take place. </w:t>
      </w:r>
      <w:r w:rsidR="004A6EF3">
        <w:rPr>
          <w:rFonts w:ascii="Verdana" w:hAnsi="Verdana"/>
          <w:bCs/>
          <w:sz w:val="22"/>
          <w:szCs w:val="22"/>
        </w:rPr>
        <w:t xml:space="preserve">Completed risk assessments come into the health and safety </w:t>
      </w:r>
      <w:r w:rsidR="003758F7">
        <w:rPr>
          <w:rFonts w:ascii="Verdana" w:hAnsi="Verdana"/>
          <w:bCs/>
          <w:sz w:val="22"/>
          <w:szCs w:val="22"/>
        </w:rPr>
        <w:t>team</w:t>
      </w:r>
      <w:r w:rsidR="004A6EF3">
        <w:rPr>
          <w:rFonts w:ascii="Verdana" w:hAnsi="Verdana"/>
          <w:bCs/>
          <w:sz w:val="22"/>
          <w:szCs w:val="22"/>
        </w:rPr>
        <w:t xml:space="preserve"> for </w:t>
      </w:r>
      <w:r w:rsidR="0007144E">
        <w:rPr>
          <w:rFonts w:ascii="Verdana" w:hAnsi="Verdana"/>
          <w:bCs/>
          <w:sz w:val="22"/>
          <w:szCs w:val="22"/>
        </w:rPr>
        <w:t xml:space="preserve">approval and sign off and to date the Service </w:t>
      </w:r>
      <w:r w:rsidR="005B47A3">
        <w:rPr>
          <w:rFonts w:ascii="Verdana" w:hAnsi="Verdana"/>
          <w:bCs/>
          <w:sz w:val="22"/>
          <w:szCs w:val="22"/>
        </w:rPr>
        <w:t xml:space="preserve">has </w:t>
      </w:r>
      <w:r w:rsidR="00487481">
        <w:rPr>
          <w:rFonts w:ascii="Verdana" w:hAnsi="Verdana"/>
          <w:bCs/>
          <w:sz w:val="22"/>
          <w:szCs w:val="22"/>
        </w:rPr>
        <w:t>a very good record in this area</w:t>
      </w:r>
      <w:r w:rsidR="0007144E">
        <w:rPr>
          <w:rFonts w:ascii="Verdana" w:hAnsi="Verdana"/>
          <w:bCs/>
          <w:sz w:val="22"/>
          <w:szCs w:val="22"/>
        </w:rPr>
        <w:t xml:space="preserve">. </w:t>
      </w:r>
    </w:p>
    <w:p w14:paraId="4A43AF5C" w14:textId="56DEC506" w:rsidR="00790720" w:rsidRDefault="00AC11E9" w:rsidP="000B79F6">
      <w:pPr>
        <w:pStyle w:val="NormalWeb"/>
        <w:spacing w:line="276" w:lineRule="auto"/>
        <w:rPr>
          <w:rFonts w:ascii="Verdana" w:hAnsi="Verdana"/>
          <w:bCs/>
          <w:sz w:val="22"/>
          <w:szCs w:val="22"/>
        </w:rPr>
      </w:pPr>
      <w:r w:rsidRPr="00AC11E9">
        <w:rPr>
          <w:rFonts w:ascii="Verdana" w:hAnsi="Verdana"/>
          <w:b/>
          <w:sz w:val="22"/>
          <w:szCs w:val="22"/>
        </w:rPr>
        <w:t>Fire Risk Assessments</w:t>
      </w:r>
      <w:r w:rsidR="00487481" w:rsidRPr="00AC11E9">
        <w:rPr>
          <w:rFonts w:ascii="Verdana" w:hAnsi="Verdana"/>
          <w:b/>
          <w:sz w:val="22"/>
          <w:szCs w:val="22"/>
        </w:rPr>
        <w:t xml:space="preserve"> </w:t>
      </w:r>
      <w:r>
        <w:rPr>
          <w:rFonts w:ascii="Verdana" w:hAnsi="Verdana"/>
          <w:b/>
          <w:sz w:val="22"/>
          <w:szCs w:val="22"/>
        </w:rPr>
        <w:t xml:space="preserve">– </w:t>
      </w:r>
      <w:r w:rsidR="006D600C">
        <w:rPr>
          <w:rFonts w:ascii="Verdana" w:hAnsi="Verdana"/>
          <w:bCs/>
          <w:sz w:val="22"/>
          <w:szCs w:val="22"/>
        </w:rPr>
        <w:t>in the last year Station Commanders and site managers have undertaken fire risk assessor training. Whilst the Fire Authority is the ‘responsible’ person under the Regulatory Reform (Fire Safety) Order 2005</w:t>
      </w:r>
      <w:r w:rsidR="003B659D">
        <w:rPr>
          <w:rFonts w:ascii="Verdana" w:hAnsi="Verdana"/>
          <w:bCs/>
          <w:sz w:val="22"/>
          <w:szCs w:val="22"/>
        </w:rPr>
        <w:t xml:space="preserve"> the Station Commanders and site managers are the ‘duty holder’ and as such are required to complete a suitable and sufficient fire risk assessment.</w:t>
      </w:r>
      <w:r w:rsidR="000D1921">
        <w:rPr>
          <w:rFonts w:ascii="Verdana" w:hAnsi="Verdana"/>
          <w:bCs/>
          <w:sz w:val="22"/>
          <w:szCs w:val="22"/>
        </w:rPr>
        <w:t xml:space="preserve"> These assessments are then reviewed either on an annual basis or whenever there is a change i</w:t>
      </w:r>
      <w:r w:rsidR="00C60F19">
        <w:rPr>
          <w:rFonts w:ascii="Verdana" w:hAnsi="Verdana"/>
          <w:bCs/>
          <w:sz w:val="22"/>
          <w:szCs w:val="22"/>
        </w:rPr>
        <w:t xml:space="preserve">n circumstances such as a refurbishment of the premises or a </w:t>
      </w:r>
      <w:r w:rsidR="003758F7">
        <w:rPr>
          <w:rFonts w:ascii="Verdana" w:hAnsi="Verdana"/>
          <w:bCs/>
          <w:sz w:val="22"/>
          <w:szCs w:val="22"/>
        </w:rPr>
        <w:t>‘</w:t>
      </w:r>
      <w:r w:rsidR="00C60F19">
        <w:rPr>
          <w:rFonts w:ascii="Verdana" w:hAnsi="Verdana"/>
          <w:bCs/>
          <w:sz w:val="22"/>
          <w:szCs w:val="22"/>
        </w:rPr>
        <w:t>sleeping risk</w:t>
      </w:r>
      <w:r w:rsidR="003758F7">
        <w:rPr>
          <w:rFonts w:ascii="Verdana" w:hAnsi="Verdana"/>
          <w:bCs/>
          <w:sz w:val="22"/>
          <w:szCs w:val="22"/>
        </w:rPr>
        <w:t>’</w:t>
      </w:r>
      <w:r w:rsidR="00C60F19">
        <w:rPr>
          <w:rFonts w:ascii="Verdana" w:hAnsi="Verdana"/>
          <w:bCs/>
          <w:sz w:val="22"/>
          <w:szCs w:val="22"/>
        </w:rPr>
        <w:t xml:space="preserve"> is introduced.</w:t>
      </w:r>
    </w:p>
    <w:p w14:paraId="3904DB6C" w14:textId="67E74C28" w:rsidR="00284AF5" w:rsidRDefault="00C921D7" w:rsidP="000B79F6">
      <w:pPr>
        <w:pStyle w:val="NormalWeb"/>
        <w:spacing w:line="276" w:lineRule="auto"/>
        <w:rPr>
          <w:rFonts w:ascii="Verdana" w:hAnsi="Verdana"/>
          <w:bCs/>
          <w:sz w:val="22"/>
          <w:szCs w:val="22"/>
        </w:rPr>
      </w:pPr>
      <w:r>
        <w:rPr>
          <w:rFonts w:ascii="Verdana" w:hAnsi="Verdana"/>
          <w:bCs/>
          <w:sz w:val="22"/>
          <w:szCs w:val="22"/>
        </w:rPr>
        <w:t>In</w:t>
      </w:r>
      <w:r w:rsidR="00284AF5">
        <w:rPr>
          <w:rFonts w:ascii="Verdana" w:hAnsi="Verdana"/>
          <w:bCs/>
          <w:sz w:val="22"/>
          <w:szCs w:val="22"/>
        </w:rPr>
        <w:t xml:space="preserve"> September </w:t>
      </w:r>
      <w:r>
        <w:rPr>
          <w:rFonts w:ascii="Verdana" w:hAnsi="Verdana"/>
          <w:bCs/>
          <w:sz w:val="22"/>
          <w:szCs w:val="22"/>
        </w:rPr>
        <w:t xml:space="preserve">2020 </w:t>
      </w:r>
      <w:r w:rsidR="00284AF5">
        <w:rPr>
          <w:rFonts w:ascii="Verdana" w:hAnsi="Verdana"/>
          <w:bCs/>
          <w:sz w:val="22"/>
          <w:szCs w:val="22"/>
        </w:rPr>
        <w:t xml:space="preserve">a new fire risk assessment template was trialled with pleasing results. Users found it to be simple to complete and </w:t>
      </w:r>
      <w:r>
        <w:rPr>
          <w:rFonts w:ascii="Verdana" w:hAnsi="Verdana"/>
          <w:bCs/>
          <w:sz w:val="22"/>
          <w:szCs w:val="22"/>
        </w:rPr>
        <w:t xml:space="preserve">the guidance provided helpful. This year </w:t>
      </w:r>
      <w:r w:rsidR="00391628">
        <w:rPr>
          <w:rFonts w:ascii="Verdana" w:hAnsi="Verdana"/>
          <w:bCs/>
          <w:sz w:val="22"/>
          <w:szCs w:val="22"/>
        </w:rPr>
        <w:t>a review of the existing risks and control measures will be carried out</w:t>
      </w:r>
      <w:r w:rsidR="00336495">
        <w:rPr>
          <w:rFonts w:ascii="Verdana" w:hAnsi="Verdana"/>
          <w:bCs/>
          <w:sz w:val="22"/>
          <w:szCs w:val="22"/>
        </w:rPr>
        <w:t>.</w:t>
      </w:r>
    </w:p>
    <w:p w14:paraId="30DA1103" w14:textId="77777777" w:rsidR="00606129" w:rsidRDefault="001C5D4C" w:rsidP="000B79F6">
      <w:pPr>
        <w:pStyle w:val="NormalWeb"/>
        <w:spacing w:line="276" w:lineRule="auto"/>
        <w:rPr>
          <w:rFonts w:ascii="Verdana" w:hAnsi="Verdana"/>
          <w:bCs/>
          <w:sz w:val="22"/>
          <w:szCs w:val="22"/>
        </w:rPr>
      </w:pPr>
      <w:r w:rsidRPr="001C5D4C">
        <w:rPr>
          <w:rFonts w:ascii="Verdana" w:hAnsi="Verdana"/>
          <w:b/>
          <w:sz w:val="22"/>
          <w:szCs w:val="22"/>
        </w:rPr>
        <w:t xml:space="preserve">First Aid kits </w:t>
      </w:r>
      <w:r w:rsidR="0085404C">
        <w:rPr>
          <w:rFonts w:ascii="Verdana" w:hAnsi="Verdana"/>
          <w:b/>
          <w:sz w:val="22"/>
          <w:szCs w:val="22"/>
        </w:rPr>
        <w:t xml:space="preserve">– </w:t>
      </w:r>
      <w:r w:rsidR="00A44D7C">
        <w:rPr>
          <w:rFonts w:ascii="Verdana" w:hAnsi="Verdana"/>
          <w:bCs/>
          <w:sz w:val="22"/>
          <w:szCs w:val="22"/>
        </w:rPr>
        <w:t>on occasions crews and officers wi</w:t>
      </w:r>
      <w:r w:rsidR="0040649F">
        <w:rPr>
          <w:rFonts w:ascii="Verdana" w:hAnsi="Verdana"/>
          <w:bCs/>
          <w:sz w:val="22"/>
          <w:szCs w:val="22"/>
        </w:rPr>
        <w:t xml:space="preserve">ll, whilst out on the roads in </w:t>
      </w:r>
      <w:r w:rsidR="00520F3B">
        <w:rPr>
          <w:rFonts w:ascii="Verdana" w:hAnsi="Verdana"/>
          <w:bCs/>
          <w:sz w:val="22"/>
          <w:szCs w:val="22"/>
        </w:rPr>
        <w:t>small vehicles</w:t>
      </w:r>
      <w:r w:rsidR="0040649F">
        <w:rPr>
          <w:rFonts w:ascii="Verdana" w:hAnsi="Verdana"/>
          <w:bCs/>
          <w:sz w:val="22"/>
          <w:szCs w:val="22"/>
        </w:rPr>
        <w:t>, come across incidents such as road traffic collisions</w:t>
      </w:r>
      <w:r w:rsidR="00520F3B">
        <w:rPr>
          <w:rFonts w:ascii="Verdana" w:hAnsi="Verdana"/>
          <w:bCs/>
          <w:sz w:val="22"/>
          <w:szCs w:val="22"/>
        </w:rPr>
        <w:t>. If they arrive before</w:t>
      </w:r>
      <w:r w:rsidR="0040649F">
        <w:rPr>
          <w:rFonts w:ascii="Verdana" w:hAnsi="Verdana"/>
          <w:bCs/>
          <w:sz w:val="22"/>
          <w:szCs w:val="22"/>
        </w:rPr>
        <w:t xml:space="preserve"> any emergency services are on scene</w:t>
      </w:r>
      <w:r w:rsidR="00520F3B">
        <w:rPr>
          <w:rFonts w:ascii="Verdana" w:hAnsi="Verdana"/>
          <w:bCs/>
          <w:sz w:val="22"/>
          <w:szCs w:val="22"/>
        </w:rPr>
        <w:t xml:space="preserve">, there has been little first aid provision </w:t>
      </w:r>
      <w:r w:rsidR="00E4363B">
        <w:rPr>
          <w:rFonts w:ascii="Verdana" w:hAnsi="Verdana"/>
          <w:bCs/>
          <w:sz w:val="22"/>
          <w:szCs w:val="22"/>
        </w:rPr>
        <w:t xml:space="preserve">in the vehicles </w:t>
      </w:r>
      <w:r w:rsidR="00520F3B">
        <w:rPr>
          <w:rFonts w:ascii="Verdana" w:hAnsi="Verdana"/>
          <w:bCs/>
          <w:sz w:val="22"/>
          <w:szCs w:val="22"/>
        </w:rPr>
        <w:t xml:space="preserve">that they can </w:t>
      </w:r>
      <w:r w:rsidR="00E4363B">
        <w:rPr>
          <w:rFonts w:ascii="Verdana" w:hAnsi="Verdana"/>
          <w:bCs/>
          <w:sz w:val="22"/>
          <w:szCs w:val="22"/>
        </w:rPr>
        <w:t xml:space="preserve">use at the scene. </w:t>
      </w:r>
      <w:r w:rsidR="00730AC2">
        <w:rPr>
          <w:rFonts w:ascii="Verdana" w:hAnsi="Verdana"/>
          <w:bCs/>
          <w:sz w:val="22"/>
          <w:szCs w:val="22"/>
        </w:rPr>
        <w:t xml:space="preserve">Following </w:t>
      </w:r>
      <w:r w:rsidR="0085404C">
        <w:rPr>
          <w:rFonts w:ascii="Verdana" w:hAnsi="Verdana"/>
          <w:bCs/>
          <w:sz w:val="22"/>
          <w:szCs w:val="22"/>
        </w:rPr>
        <w:t>suggestion</w:t>
      </w:r>
      <w:r w:rsidR="00730AC2">
        <w:rPr>
          <w:rFonts w:ascii="Verdana" w:hAnsi="Verdana"/>
          <w:bCs/>
          <w:sz w:val="22"/>
          <w:szCs w:val="22"/>
        </w:rPr>
        <w:t>s</w:t>
      </w:r>
      <w:r w:rsidR="0085404C">
        <w:rPr>
          <w:rFonts w:ascii="Verdana" w:hAnsi="Verdana"/>
          <w:bCs/>
          <w:sz w:val="22"/>
          <w:szCs w:val="22"/>
        </w:rPr>
        <w:t xml:space="preserve"> from several </w:t>
      </w:r>
      <w:r w:rsidR="00730AC2">
        <w:rPr>
          <w:rFonts w:ascii="Verdana" w:hAnsi="Verdana"/>
          <w:bCs/>
          <w:sz w:val="22"/>
          <w:szCs w:val="22"/>
        </w:rPr>
        <w:t>crews</w:t>
      </w:r>
      <w:r w:rsidR="002072B9">
        <w:rPr>
          <w:rFonts w:ascii="Verdana" w:hAnsi="Verdana"/>
          <w:bCs/>
          <w:sz w:val="22"/>
          <w:szCs w:val="22"/>
        </w:rPr>
        <w:t xml:space="preserve"> and officers</w:t>
      </w:r>
      <w:r w:rsidR="0085404C">
        <w:rPr>
          <w:rFonts w:ascii="Verdana" w:hAnsi="Verdana"/>
          <w:bCs/>
          <w:sz w:val="22"/>
          <w:szCs w:val="22"/>
        </w:rPr>
        <w:t xml:space="preserve"> a decision was taken to </w:t>
      </w:r>
      <w:r w:rsidR="00A258F5">
        <w:rPr>
          <w:rFonts w:ascii="Verdana" w:hAnsi="Verdana"/>
          <w:bCs/>
          <w:sz w:val="22"/>
          <w:szCs w:val="22"/>
        </w:rPr>
        <w:t>put first aid kits and associated PPE in station vehicles and Officers cars</w:t>
      </w:r>
      <w:r w:rsidR="00A44D7C">
        <w:rPr>
          <w:rFonts w:ascii="Verdana" w:hAnsi="Verdana"/>
          <w:bCs/>
          <w:sz w:val="22"/>
          <w:szCs w:val="22"/>
        </w:rPr>
        <w:t xml:space="preserve">. </w:t>
      </w:r>
      <w:r w:rsidR="002072B9">
        <w:rPr>
          <w:rFonts w:ascii="Verdana" w:hAnsi="Verdana"/>
          <w:bCs/>
          <w:sz w:val="22"/>
          <w:szCs w:val="22"/>
        </w:rPr>
        <w:t xml:space="preserve">The rationale for </w:t>
      </w:r>
      <w:r w:rsidR="00C64DCE">
        <w:rPr>
          <w:rFonts w:ascii="Verdana" w:hAnsi="Verdana"/>
          <w:bCs/>
          <w:sz w:val="22"/>
          <w:szCs w:val="22"/>
        </w:rPr>
        <w:t>placing them in these vehicles is that the drivers will be first aid trained with some having the Immediate Emergency Care qualification</w:t>
      </w:r>
      <w:r w:rsidR="00DE6C87">
        <w:rPr>
          <w:rFonts w:ascii="Verdana" w:hAnsi="Verdana"/>
          <w:bCs/>
          <w:sz w:val="22"/>
          <w:szCs w:val="22"/>
        </w:rPr>
        <w:t xml:space="preserve">. </w:t>
      </w:r>
    </w:p>
    <w:p w14:paraId="7BBB6DB3" w14:textId="0FC4C053" w:rsidR="002072B9" w:rsidRDefault="00DE6C87" w:rsidP="000B79F6">
      <w:pPr>
        <w:pStyle w:val="NormalWeb"/>
        <w:spacing w:line="276" w:lineRule="auto"/>
        <w:rPr>
          <w:rFonts w:ascii="Verdana" w:hAnsi="Verdana"/>
          <w:bCs/>
          <w:sz w:val="22"/>
          <w:szCs w:val="22"/>
        </w:rPr>
      </w:pPr>
      <w:r>
        <w:rPr>
          <w:rFonts w:ascii="Verdana" w:hAnsi="Verdana"/>
          <w:bCs/>
          <w:sz w:val="22"/>
          <w:szCs w:val="22"/>
        </w:rPr>
        <w:t xml:space="preserve">Other vehicles such as the pool cars could be driven by any employee who may not </w:t>
      </w:r>
      <w:r w:rsidR="00606129">
        <w:rPr>
          <w:rFonts w:ascii="Verdana" w:hAnsi="Verdana"/>
          <w:bCs/>
          <w:sz w:val="22"/>
          <w:szCs w:val="22"/>
        </w:rPr>
        <w:t xml:space="preserve">be first aid qualified so it was deemed necessary to </w:t>
      </w:r>
      <w:r w:rsidR="00013555">
        <w:rPr>
          <w:rFonts w:ascii="Verdana" w:hAnsi="Verdana"/>
          <w:bCs/>
          <w:sz w:val="22"/>
          <w:szCs w:val="22"/>
        </w:rPr>
        <w:t xml:space="preserve">discount these vehicles </w:t>
      </w:r>
      <w:proofErr w:type="gramStart"/>
      <w:r w:rsidR="00013555">
        <w:rPr>
          <w:rFonts w:ascii="Verdana" w:hAnsi="Verdana"/>
          <w:bCs/>
          <w:sz w:val="22"/>
          <w:szCs w:val="22"/>
        </w:rPr>
        <w:t>in order to</w:t>
      </w:r>
      <w:proofErr w:type="gramEnd"/>
      <w:r w:rsidR="00013555">
        <w:rPr>
          <w:rFonts w:ascii="Verdana" w:hAnsi="Verdana"/>
          <w:bCs/>
          <w:sz w:val="22"/>
          <w:szCs w:val="22"/>
        </w:rPr>
        <w:t xml:space="preserve"> eliminate risk and the potential for reputational damage.</w:t>
      </w:r>
    </w:p>
    <w:p w14:paraId="2E613657" w14:textId="7AF83BD4" w:rsidR="003E2954" w:rsidRDefault="00EB7732" w:rsidP="000B79F6">
      <w:pPr>
        <w:pStyle w:val="NormalWeb"/>
        <w:spacing w:line="276" w:lineRule="auto"/>
        <w:rPr>
          <w:rFonts w:ascii="Verdana" w:hAnsi="Verdana"/>
          <w:sz w:val="22"/>
          <w:szCs w:val="22"/>
        </w:rPr>
      </w:pPr>
      <w:bookmarkStart w:id="0" w:name="_Hlk82079401"/>
      <w:r>
        <w:rPr>
          <w:rFonts w:ascii="Verdana" w:hAnsi="Verdana"/>
          <w:b/>
          <w:sz w:val="22"/>
          <w:szCs w:val="22"/>
        </w:rPr>
        <w:t>Protecting Firefighters against contaminants</w:t>
      </w:r>
      <w:r w:rsidR="00DD26FB">
        <w:rPr>
          <w:rFonts w:ascii="Verdana" w:hAnsi="Verdana"/>
          <w:b/>
        </w:rPr>
        <w:t xml:space="preserve"> </w:t>
      </w:r>
      <w:bookmarkEnd w:id="0"/>
      <w:r w:rsidR="00A16C9E" w:rsidRPr="00C96BBB">
        <w:rPr>
          <w:rFonts w:ascii="Verdana" w:hAnsi="Verdana"/>
          <w:sz w:val="22"/>
          <w:szCs w:val="22"/>
        </w:rPr>
        <w:t>–</w:t>
      </w:r>
      <w:r w:rsidR="00DD26FB" w:rsidRPr="00C96BBB">
        <w:rPr>
          <w:rFonts w:ascii="Verdana" w:hAnsi="Verdana"/>
          <w:sz w:val="22"/>
          <w:szCs w:val="22"/>
        </w:rPr>
        <w:t xml:space="preserve"> </w:t>
      </w:r>
      <w:r>
        <w:rPr>
          <w:rFonts w:ascii="Verdana" w:hAnsi="Verdana"/>
          <w:sz w:val="22"/>
          <w:szCs w:val="22"/>
        </w:rPr>
        <w:t xml:space="preserve">Whilst there is no </w:t>
      </w:r>
      <w:r w:rsidR="000B79F6">
        <w:rPr>
          <w:rFonts w:ascii="Verdana" w:hAnsi="Verdana"/>
          <w:sz w:val="22"/>
          <w:szCs w:val="22"/>
        </w:rPr>
        <w:t xml:space="preserve">case law or confirmed evidence that the products of combustion from a fire </w:t>
      </w:r>
      <w:r w:rsidR="003B5615">
        <w:rPr>
          <w:rFonts w:ascii="Verdana" w:hAnsi="Verdana"/>
          <w:sz w:val="22"/>
          <w:szCs w:val="22"/>
        </w:rPr>
        <w:t>lead to an increased risk of cancer in</w:t>
      </w:r>
      <w:r w:rsidR="000B79F6">
        <w:rPr>
          <w:rFonts w:ascii="Verdana" w:hAnsi="Verdana"/>
          <w:sz w:val="22"/>
          <w:szCs w:val="22"/>
        </w:rPr>
        <w:t xml:space="preserve"> firefighters in the UK, it is recognised that this is a risk which needs to be mitigated so far as is reasonably practicable.</w:t>
      </w:r>
      <w:r w:rsidR="003347E5">
        <w:rPr>
          <w:rFonts w:ascii="Verdana" w:hAnsi="Verdana"/>
          <w:sz w:val="22"/>
          <w:szCs w:val="22"/>
        </w:rPr>
        <w:t xml:space="preserve"> </w:t>
      </w:r>
    </w:p>
    <w:p w14:paraId="449C81C2" w14:textId="52ECBA0C" w:rsidR="008F1BD8" w:rsidRDefault="008F1BD8" w:rsidP="000B79F6">
      <w:pPr>
        <w:pStyle w:val="NormalWeb"/>
        <w:spacing w:line="276" w:lineRule="auto"/>
        <w:rPr>
          <w:rFonts w:ascii="Verdana" w:hAnsi="Verdana"/>
          <w:sz w:val="22"/>
          <w:szCs w:val="22"/>
        </w:rPr>
      </w:pPr>
      <w:bookmarkStart w:id="1" w:name="_Hlk82079521"/>
      <w:r>
        <w:rPr>
          <w:rFonts w:ascii="Verdana" w:hAnsi="Verdana"/>
          <w:sz w:val="22"/>
          <w:szCs w:val="22"/>
        </w:rPr>
        <w:lastRenderedPageBreak/>
        <w:t xml:space="preserve">The Fire Brigades Union (FBU) commenced a contaminants project, in conjunction with Professor Anna </w:t>
      </w:r>
      <w:proofErr w:type="spellStart"/>
      <w:r>
        <w:rPr>
          <w:rFonts w:ascii="Verdana" w:hAnsi="Verdana"/>
          <w:sz w:val="22"/>
          <w:szCs w:val="22"/>
        </w:rPr>
        <w:t>Stec</w:t>
      </w:r>
      <w:proofErr w:type="spellEnd"/>
      <w:r>
        <w:rPr>
          <w:rFonts w:ascii="Verdana" w:hAnsi="Verdana"/>
          <w:sz w:val="22"/>
          <w:szCs w:val="22"/>
        </w:rPr>
        <w:t xml:space="preserve"> from the University of Central Lancashire, which involves the analysis of blood, urine and hair to determine if and at what level contaminants are present.</w:t>
      </w:r>
      <w:r w:rsidR="003E5670">
        <w:rPr>
          <w:rFonts w:ascii="Verdana" w:hAnsi="Verdana"/>
          <w:sz w:val="22"/>
          <w:szCs w:val="22"/>
        </w:rPr>
        <w:t xml:space="preserve"> As a result of this research the FBU </w:t>
      </w:r>
      <w:r w:rsidR="00557793">
        <w:rPr>
          <w:rFonts w:ascii="Verdana" w:hAnsi="Verdana"/>
          <w:sz w:val="22"/>
          <w:szCs w:val="22"/>
        </w:rPr>
        <w:t>published a</w:t>
      </w:r>
      <w:r w:rsidR="007C4099">
        <w:rPr>
          <w:rFonts w:ascii="Verdana" w:hAnsi="Verdana"/>
          <w:sz w:val="22"/>
          <w:szCs w:val="22"/>
        </w:rPr>
        <w:t>n interim</w:t>
      </w:r>
      <w:r w:rsidR="00557793">
        <w:rPr>
          <w:rFonts w:ascii="Verdana" w:hAnsi="Verdana"/>
          <w:sz w:val="22"/>
          <w:szCs w:val="22"/>
        </w:rPr>
        <w:t xml:space="preserve"> report -</w:t>
      </w:r>
      <w:r>
        <w:rPr>
          <w:rFonts w:ascii="Verdana" w:hAnsi="Verdana"/>
          <w:sz w:val="22"/>
          <w:szCs w:val="22"/>
        </w:rPr>
        <w:t xml:space="preserve"> </w:t>
      </w:r>
      <w:r w:rsidR="00564243">
        <w:rPr>
          <w:rFonts w:ascii="Verdana" w:hAnsi="Verdana"/>
          <w:sz w:val="22"/>
          <w:szCs w:val="22"/>
        </w:rPr>
        <w:t>“Minimising</w:t>
      </w:r>
      <w:r w:rsidR="00CD2D96">
        <w:rPr>
          <w:rFonts w:ascii="Verdana" w:hAnsi="Verdana"/>
          <w:sz w:val="22"/>
          <w:szCs w:val="22"/>
        </w:rPr>
        <w:t xml:space="preserve"> </w:t>
      </w:r>
      <w:r w:rsidR="008C73BB">
        <w:rPr>
          <w:rFonts w:ascii="Verdana" w:hAnsi="Verdana"/>
          <w:sz w:val="22"/>
          <w:szCs w:val="22"/>
        </w:rPr>
        <w:t>firefighters’</w:t>
      </w:r>
      <w:r w:rsidR="00CD2D96">
        <w:rPr>
          <w:rFonts w:ascii="Verdana" w:hAnsi="Verdana"/>
          <w:sz w:val="22"/>
          <w:szCs w:val="22"/>
        </w:rPr>
        <w:t xml:space="preserve"> exposure to toxic fire effluents</w:t>
      </w:r>
      <w:r w:rsidR="00564243">
        <w:rPr>
          <w:rFonts w:ascii="Verdana" w:hAnsi="Verdana"/>
          <w:sz w:val="22"/>
          <w:szCs w:val="22"/>
        </w:rPr>
        <w:t>”</w:t>
      </w:r>
      <w:r>
        <w:rPr>
          <w:rFonts w:ascii="Verdana" w:hAnsi="Verdana"/>
          <w:sz w:val="22"/>
          <w:szCs w:val="22"/>
        </w:rPr>
        <w:t>.</w:t>
      </w:r>
    </w:p>
    <w:bookmarkEnd w:id="1"/>
    <w:p w14:paraId="77364972" w14:textId="40F7D200" w:rsidR="00564243" w:rsidRDefault="00564243" w:rsidP="000B79F6">
      <w:pPr>
        <w:pStyle w:val="NormalWeb"/>
        <w:spacing w:line="276" w:lineRule="auto"/>
        <w:rPr>
          <w:rFonts w:ascii="Verdana" w:hAnsi="Verdana"/>
          <w:sz w:val="22"/>
          <w:szCs w:val="22"/>
        </w:rPr>
      </w:pPr>
      <w:r>
        <w:rPr>
          <w:rFonts w:ascii="Verdana" w:hAnsi="Verdana"/>
          <w:sz w:val="22"/>
          <w:szCs w:val="22"/>
        </w:rPr>
        <w:t>A gap analysis has been carried out</w:t>
      </w:r>
      <w:r w:rsidR="008C73BB">
        <w:rPr>
          <w:rFonts w:ascii="Verdana" w:hAnsi="Verdana"/>
          <w:sz w:val="22"/>
          <w:szCs w:val="22"/>
        </w:rPr>
        <w:t xml:space="preserve"> and it</w:t>
      </w:r>
      <w:r w:rsidR="00F6047B">
        <w:rPr>
          <w:rFonts w:ascii="Verdana" w:hAnsi="Verdana"/>
          <w:sz w:val="22"/>
          <w:szCs w:val="22"/>
        </w:rPr>
        <w:t xml:space="preserve"> is pleasing to </w:t>
      </w:r>
      <w:r w:rsidR="00B165AE">
        <w:rPr>
          <w:rFonts w:ascii="Verdana" w:hAnsi="Verdana"/>
          <w:sz w:val="22"/>
          <w:szCs w:val="22"/>
        </w:rPr>
        <w:t>note</w:t>
      </w:r>
      <w:r w:rsidR="00F6047B">
        <w:rPr>
          <w:rFonts w:ascii="Verdana" w:hAnsi="Verdana"/>
          <w:sz w:val="22"/>
          <w:szCs w:val="22"/>
        </w:rPr>
        <w:t xml:space="preserve"> that </w:t>
      </w:r>
      <w:r w:rsidR="00A20673">
        <w:rPr>
          <w:rFonts w:ascii="Verdana" w:hAnsi="Verdana"/>
          <w:sz w:val="22"/>
          <w:szCs w:val="22"/>
        </w:rPr>
        <w:t xml:space="preserve">there was </w:t>
      </w:r>
      <w:r w:rsidR="008732B0">
        <w:rPr>
          <w:rFonts w:ascii="Verdana" w:hAnsi="Verdana"/>
          <w:sz w:val="22"/>
          <w:szCs w:val="22"/>
        </w:rPr>
        <w:t xml:space="preserve">nothing in the report that the Service </w:t>
      </w:r>
      <w:r w:rsidR="009A78E5">
        <w:rPr>
          <w:rFonts w:ascii="Verdana" w:hAnsi="Verdana"/>
          <w:sz w:val="22"/>
          <w:szCs w:val="22"/>
        </w:rPr>
        <w:t>was</w:t>
      </w:r>
      <w:r w:rsidR="008732B0">
        <w:rPr>
          <w:rFonts w:ascii="Verdana" w:hAnsi="Verdana"/>
          <w:sz w:val="22"/>
          <w:szCs w:val="22"/>
        </w:rPr>
        <w:t xml:space="preserve"> not already aware of. T</w:t>
      </w:r>
      <w:r w:rsidR="000843CE">
        <w:rPr>
          <w:rFonts w:ascii="Verdana" w:hAnsi="Verdana"/>
          <w:sz w:val="22"/>
          <w:szCs w:val="22"/>
        </w:rPr>
        <w:t xml:space="preserve">he gap analysis identified that </w:t>
      </w:r>
      <w:r w:rsidR="007676B3">
        <w:rPr>
          <w:rFonts w:ascii="Verdana" w:hAnsi="Verdana"/>
          <w:sz w:val="22"/>
          <w:szCs w:val="22"/>
        </w:rPr>
        <w:t xml:space="preserve">control of contaminants is a large project, however the Service is well ahead in terms of </w:t>
      </w:r>
      <w:r w:rsidR="00875041">
        <w:rPr>
          <w:rFonts w:ascii="Verdana" w:hAnsi="Verdana"/>
          <w:sz w:val="22"/>
          <w:szCs w:val="22"/>
        </w:rPr>
        <w:t>local control measures</w:t>
      </w:r>
      <w:r w:rsidR="00F25D86">
        <w:rPr>
          <w:rFonts w:ascii="Verdana" w:hAnsi="Verdana"/>
          <w:sz w:val="22"/>
          <w:szCs w:val="22"/>
        </w:rPr>
        <w:t xml:space="preserve">. </w:t>
      </w:r>
      <w:r w:rsidR="00A41341">
        <w:rPr>
          <w:rFonts w:ascii="Verdana" w:hAnsi="Verdana"/>
          <w:sz w:val="22"/>
          <w:szCs w:val="22"/>
        </w:rPr>
        <w:t xml:space="preserve">Work is ongoing in the </w:t>
      </w:r>
      <w:proofErr w:type="gramStart"/>
      <w:r w:rsidR="00A41341">
        <w:rPr>
          <w:rFonts w:ascii="Verdana" w:hAnsi="Verdana"/>
          <w:sz w:val="22"/>
          <w:szCs w:val="22"/>
        </w:rPr>
        <w:t>South East</w:t>
      </w:r>
      <w:proofErr w:type="gramEnd"/>
      <w:r w:rsidR="00A41341">
        <w:rPr>
          <w:rFonts w:ascii="Verdana" w:hAnsi="Verdana"/>
          <w:sz w:val="22"/>
          <w:szCs w:val="22"/>
        </w:rPr>
        <w:t xml:space="preserve"> region on developing a training package for decontamination which </w:t>
      </w:r>
      <w:r w:rsidR="00B956CA">
        <w:rPr>
          <w:rFonts w:ascii="Verdana" w:hAnsi="Verdana"/>
          <w:sz w:val="22"/>
          <w:szCs w:val="22"/>
        </w:rPr>
        <w:t xml:space="preserve">features </w:t>
      </w:r>
      <w:r w:rsidR="00D637AC">
        <w:rPr>
          <w:rFonts w:ascii="Verdana" w:hAnsi="Verdana"/>
          <w:sz w:val="22"/>
          <w:szCs w:val="22"/>
        </w:rPr>
        <w:t>as a</w:t>
      </w:r>
      <w:r w:rsidR="00915239">
        <w:rPr>
          <w:rFonts w:ascii="Verdana" w:hAnsi="Verdana"/>
          <w:sz w:val="22"/>
          <w:szCs w:val="22"/>
        </w:rPr>
        <w:t xml:space="preserve"> recommendation </w:t>
      </w:r>
      <w:r w:rsidR="00B956CA">
        <w:rPr>
          <w:rFonts w:ascii="Verdana" w:hAnsi="Verdana"/>
          <w:sz w:val="22"/>
          <w:szCs w:val="22"/>
        </w:rPr>
        <w:t>in the report.</w:t>
      </w:r>
    </w:p>
    <w:p w14:paraId="432ACB6A" w14:textId="78AC8DBA" w:rsidR="003B5615" w:rsidRDefault="00AF3DE5" w:rsidP="000B79F6">
      <w:pPr>
        <w:pStyle w:val="NormalWeb"/>
        <w:spacing w:line="276" w:lineRule="auto"/>
        <w:rPr>
          <w:rFonts w:ascii="Verdana" w:hAnsi="Verdana"/>
          <w:sz w:val="22"/>
          <w:szCs w:val="22"/>
        </w:rPr>
      </w:pPr>
      <w:r>
        <w:rPr>
          <w:rFonts w:ascii="Verdana" w:hAnsi="Verdana"/>
          <w:sz w:val="22"/>
          <w:szCs w:val="22"/>
        </w:rPr>
        <w:t>Locally, t</w:t>
      </w:r>
      <w:r w:rsidR="003B5615">
        <w:rPr>
          <w:rFonts w:ascii="Verdana" w:hAnsi="Verdana"/>
          <w:sz w:val="22"/>
          <w:szCs w:val="22"/>
        </w:rPr>
        <w:t>he Service has introduced a range of measures to protect firefighters against the risk of contamination which include:</w:t>
      </w:r>
    </w:p>
    <w:p w14:paraId="5BCA767A" w14:textId="242CA45D" w:rsidR="003B5615" w:rsidRDefault="003B5615" w:rsidP="003B5615">
      <w:pPr>
        <w:pStyle w:val="NormalWeb"/>
        <w:numPr>
          <w:ilvl w:val="0"/>
          <w:numId w:val="35"/>
        </w:numPr>
        <w:spacing w:line="276" w:lineRule="auto"/>
        <w:rPr>
          <w:rFonts w:ascii="Verdana" w:hAnsi="Verdana"/>
          <w:sz w:val="22"/>
          <w:szCs w:val="22"/>
        </w:rPr>
      </w:pPr>
      <w:r>
        <w:rPr>
          <w:rFonts w:ascii="Verdana" w:hAnsi="Verdana"/>
          <w:sz w:val="22"/>
          <w:szCs w:val="22"/>
        </w:rPr>
        <w:t>PPE and ‘Clean cab/vehicle’ procedure</w:t>
      </w:r>
    </w:p>
    <w:p w14:paraId="012FFF6A" w14:textId="77777777" w:rsidR="003B5615" w:rsidRDefault="003B5615" w:rsidP="003B5615">
      <w:pPr>
        <w:pStyle w:val="NormalWeb"/>
        <w:numPr>
          <w:ilvl w:val="0"/>
          <w:numId w:val="35"/>
        </w:numPr>
        <w:spacing w:line="276" w:lineRule="auto"/>
        <w:rPr>
          <w:rFonts w:ascii="Verdana" w:hAnsi="Verdana"/>
          <w:sz w:val="22"/>
          <w:szCs w:val="22"/>
        </w:rPr>
      </w:pPr>
      <w:r>
        <w:rPr>
          <w:rFonts w:ascii="Verdana" w:hAnsi="Verdana"/>
          <w:sz w:val="22"/>
          <w:szCs w:val="22"/>
        </w:rPr>
        <w:t xml:space="preserve">‘Clean’ and ‘dirty’ areas on stations </w:t>
      </w:r>
      <w:r w:rsidR="00AA3AE6">
        <w:rPr>
          <w:rFonts w:ascii="Verdana" w:hAnsi="Verdana"/>
          <w:sz w:val="22"/>
          <w:szCs w:val="22"/>
        </w:rPr>
        <w:t>to limit where PPE can be worn</w:t>
      </w:r>
    </w:p>
    <w:p w14:paraId="296637DD" w14:textId="5FAA4904" w:rsidR="00AA3AE6" w:rsidRDefault="00AA3AE6" w:rsidP="003B5615">
      <w:pPr>
        <w:pStyle w:val="NormalWeb"/>
        <w:numPr>
          <w:ilvl w:val="0"/>
          <w:numId w:val="35"/>
        </w:numPr>
        <w:spacing w:line="276" w:lineRule="auto"/>
        <w:rPr>
          <w:rFonts w:ascii="Verdana" w:hAnsi="Verdana"/>
          <w:sz w:val="22"/>
          <w:szCs w:val="22"/>
        </w:rPr>
      </w:pPr>
      <w:r>
        <w:rPr>
          <w:rFonts w:ascii="Verdana" w:hAnsi="Verdana"/>
          <w:sz w:val="22"/>
          <w:szCs w:val="22"/>
        </w:rPr>
        <w:t>Blue Light Hub – designed to ‘flow’ from ‘dirty’ to ‘clean’ areas and a lecture room capability in the appliance bay which removes the requirement to remove PPE before attending a lecture</w:t>
      </w:r>
    </w:p>
    <w:p w14:paraId="5179CF29" w14:textId="5CE441C6" w:rsidR="003B5615" w:rsidRDefault="003B5615" w:rsidP="003B5615">
      <w:pPr>
        <w:pStyle w:val="NormalWeb"/>
        <w:numPr>
          <w:ilvl w:val="0"/>
          <w:numId w:val="35"/>
        </w:numPr>
        <w:spacing w:line="276" w:lineRule="auto"/>
        <w:rPr>
          <w:rFonts w:ascii="Verdana" w:hAnsi="Verdana"/>
          <w:sz w:val="22"/>
          <w:szCs w:val="22"/>
        </w:rPr>
      </w:pPr>
      <w:r>
        <w:rPr>
          <w:rFonts w:ascii="Verdana" w:hAnsi="Verdana"/>
          <w:sz w:val="22"/>
          <w:szCs w:val="22"/>
        </w:rPr>
        <w:t xml:space="preserve">A robust process for dealing with contaminated PPE including boots, </w:t>
      </w:r>
      <w:proofErr w:type="gramStart"/>
      <w:r>
        <w:rPr>
          <w:rFonts w:ascii="Verdana" w:hAnsi="Verdana"/>
          <w:sz w:val="22"/>
          <w:szCs w:val="22"/>
        </w:rPr>
        <w:t>helmets</w:t>
      </w:r>
      <w:proofErr w:type="gramEnd"/>
      <w:r>
        <w:rPr>
          <w:rFonts w:ascii="Verdana" w:hAnsi="Verdana"/>
          <w:sz w:val="22"/>
          <w:szCs w:val="22"/>
        </w:rPr>
        <w:t xml:space="preserve"> and gloves</w:t>
      </w:r>
    </w:p>
    <w:p w14:paraId="3BBC2CBC" w14:textId="7F1A59E5" w:rsidR="00B956CA" w:rsidRDefault="00B956CA" w:rsidP="003B5615">
      <w:pPr>
        <w:pStyle w:val="NormalWeb"/>
        <w:numPr>
          <w:ilvl w:val="0"/>
          <w:numId w:val="35"/>
        </w:numPr>
        <w:spacing w:line="276" w:lineRule="auto"/>
        <w:rPr>
          <w:rFonts w:ascii="Verdana" w:hAnsi="Verdana"/>
          <w:sz w:val="22"/>
          <w:szCs w:val="22"/>
        </w:rPr>
      </w:pPr>
      <w:r>
        <w:rPr>
          <w:rFonts w:ascii="Verdana" w:hAnsi="Verdana"/>
          <w:sz w:val="22"/>
          <w:szCs w:val="22"/>
        </w:rPr>
        <w:t xml:space="preserve">Issue of kit bags to all operational personnel to store clean </w:t>
      </w:r>
      <w:r w:rsidR="003F6D12">
        <w:rPr>
          <w:rFonts w:ascii="Verdana" w:hAnsi="Verdana"/>
          <w:sz w:val="22"/>
          <w:szCs w:val="22"/>
        </w:rPr>
        <w:t>PPE</w:t>
      </w:r>
    </w:p>
    <w:p w14:paraId="490D2DE0" w14:textId="3E736F91" w:rsidR="003B5615" w:rsidRDefault="003B5615" w:rsidP="003B5615">
      <w:pPr>
        <w:pStyle w:val="NormalWeb"/>
        <w:numPr>
          <w:ilvl w:val="0"/>
          <w:numId w:val="35"/>
        </w:numPr>
        <w:spacing w:line="276" w:lineRule="auto"/>
        <w:rPr>
          <w:rFonts w:ascii="Verdana" w:hAnsi="Verdana"/>
          <w:sz w:val="22"/>
          <w:szCs w:val="22"/>
        </w:rPr>
      </w:pPr>
      <w:r>
        <w:rPr>
          <w:rFonts w:ascii="Verdana" w:hAnsi="Verdana"/>
          <w:sz w:val="22"/>
          <w:szCs w:val="22"/>
        </w:rPr>
        <w:t>Issuing of ‘wipes’ which will remove contaminants from exposed skin on all appliances and stations</w:t>
      </w:r>
    </w:p>
    <w:p w14:paraId="19A5C198" w14:textId="6D8BE7F6" w:rsidR="003B5615" w:rsidRDefault="003B5615" w:rsidP="003B5615">
      <w:pPr>
        <w:pStyle w:val="NormalWeb"/>
        <w:numPr>
          <w:ilvl w:val="0"/>
          <w:numId w:val="35"/>
        </w:numPr>
        <w:spacing w:line="276" w:lineRule="auto"/>
        <w:rPr>
          <w:rFonts w:ascii="Verdana" w:hAnsi="Verdana"/>
          <w:sz w:val="22"/>
          <w:szCs w:val="22"/>
        </w:rPr>
      </w:pPr>
      <w:r>
        <w:rPr>
          <w:rFonts w:ascii="Verdana" w:hAnsi="Verdana"/>
          <w:sz w:val="22"/>
          <w:szCs w:val="22"/>
        </w:rPr>
        <w:t>Provision of washing machines on all stations for washing working rig and bedding etc. so there is no risk of cross contamination</w:t>
      </w:r>
    </w:p>
    <w:p w14:paraId="0700A82F" w14:textId="77777777" w:rsidR="003B5615" w:rsidRDefault="003B5615" w:rsidP="003B5615">
      <w:pPr>
        <w:pStyle w:val="NormalWeb"/>
        <w:numPr>
          <w:ilvl w:val="0"/>
          <w:numId w:val="35"/>
        </w:numPr>
        <w:spacing w:line="276" w:lineRule="auto"/>
        <w:rPr>
          <w:rFonts w:ascii="Verdana" w:hAnsi="Verdana"/>
          <w:sz w:val="22"/>
          <w:szCs w:val="22"/>
        </w:rPr>
      </w:pPr>
      <w:r>
        <w:rPr>
          <w:rFonts w:ascii="Verdana" w:hAnsi="Verdana"/>
          <w:sz w:val="22"/>
          <w:szCs w:val="22"/>
        </w:rPr>
        <w:t xml:space="preserve">‘Eliminate contaminants’ checklist prominently displayed in main areas of fire stations </w:t>
      </w:r>
      <w:r w:rsidR="00AA3AE6">
        <w:rPr>
          <w:rFonts w:ascii="Verdana" w:hAnsi="Verdana"/>
          <w:sz w:val="22"/>
          <w:szCs w:val="22"/>
        </w:rPr>
        <w:t xml:space="preserve">as a reminder to crews of the actions they need to take </w:t>
      </w:r>
      <w:r>
        <w:rPr>
          <w:rFonts w:ascii="Verdana" w:hAnsi="Verdana"/>
          <w:sz w:val="22"/>
          <w:szCs w:val="22"/>
        </w:rPr>
        <w:t>– please see example below</w:t>
      </w:r>
      <w:r w:rsidR="00C54964">
        <w:rPr>
          <w:rFonts w:ascii="Verdana" w:hAnsi="Verdana"/>
          <w:sz w:val="22"/>
          <w:szCs w:val="22"/>
        </w:rPr>
        <w:t>.</w:t>
      </w:r>
    </w:p>
    <w:p w14:paraId="3F40BCE2" w14:textId="77777777" w:rsidR="00AF3DE5" w:rsidRDefault="00AF3DE5" w:rsidP="00AF3DE5">
      <w:pPr>
        <w:pStyle w:val="NormalWeb"/>
        <w:spacing w:line="276" w:lineRule="auto"/>
        <w:rPr>
          <w:rFonts w:ascii="Verdana" w:hAnsi="Verdana"/>
          <w:sz w:val="22"/>
          <w:szCs w:val="22"/>
        </w:rPr>
      </w:pPr>
      <w:r>
        <w:rPr>
          <w:rFonts w:ascii="Verdana" w:hAnsi="Verdana"/>
          <w:sz w:val="22"/>
          <w:szCs w:val="22"/>
        </w:rPr>
        <w:t>This checklist was developed and agreed by the Service, the F</w:t>
      </w:r>
      <w:r w:rsidR="00B24C64">
        <w:rPr>
          <w:rFonts w:ascii="Verdana" w:hAnsi="Verdana"/>
          <w:sz w:val="22"/>
          <w:szCs w:val="22"/>
        </w:rPr>
        <w:t>ire Brigades Union (F</w:t>
      </w:r>
      <w:r>
        <w:rPr>
          <w:rFonts w:ascii="Verdana" w:hAnsi="Verdana"/>
          <w:sz w:val="22"/>
          <w:szCs w:val="22"/>
        </w:rPr>
        <w:t>BU</w:t>
      </w:r>
      <w:r w:rsidR="00B24C64">
        <w:rPr>
          <w:rFonts w:ascii="Verdana" w:hAnsi="Verdana"/>
          <w:sz w:val="22"/>
          <w:szCs w:val="22"/>
        </w:rPr>
        <w:t>)</w:t>
      </w:r>
      <w:r>
        <w:rPr>
          <w:rFonts w:ascii="Verdana" w:hAnsi="Verdana"/>
          <w:sz w:val="22"/>
          <w:szCs w:val="22"/>
        </w:rPr>
        <w:t xml:space="preserve"> and </w:t>
      </w:r>
      <w:r w:rsidR="00791A74">
        <w:rPr>
          <w:rFonts w:ascii="Verdana" w:hAnsi="Verdana"/>
          <w:sz w:val="22"/>
          <w:szCs w:val="22"/>
        </w:rPr>
        <w:t>T</w:t>
      </w:r>
      <w:r>
        <w:rPr>
          <w:rFonts w:ascii="Verdana" w:hAnsi="Verdana"/>
          <w:sz w:val="22"/>
          <w:szCs w:val="22"/>
        </w:rPr>
        <w:t>he Fire Officers Association (FOA).</w:t>
      </w:r>
    </w:p>
    <w:p w14:paraId="319B1194" w14:textId="77777777" w:rsidR="00AA3AE6" w:rsidRPr="003B5615" w:rsidRDefault="00AA3AE6" w:rsidP="00AA3AE6">
      <w:pPr>
        <w:pStyle w:val="NormalWeb"/>
        <w:spacing w:line="276" w:lineRule="auto"/>
        <w:rPr>
          <w:rFonts w:ascii="Verdana" w:hAnsi="Verdana"/>
          <w:sz w:val="22"/>
          <w:szCs w:val="22"/>
        </w:rPr>
      </w:pPr>
      <w:r>
        <w:rPr>
          <w:noProof/>
        </w:rPr>
        <w:lastRenderedPageBreak/>
        <w:drawing>
          <wp:inline distT="0" distB="0" distL="0" distR="0" wp14:anchorId="4B72A798" wp14:editId="08945188">
            <wp:extent cx="2981325" cy="418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4181475"/>
                    </a:xfrm>
                    <a:prstGeom prst="rect">
                      <a:avLst/>
                    </a:prstGeom>
                    <a:noFill/>
                    <a:ln>
                      <a:noFill/>
                    </a:ln>
                  </pic:spPr>
                </pic:pic>
              </a:graphicData>
            </a:graphic>
          </wp:inline>
        </w:drawing>
      </w:r>
    </w:p>
    <w:p w14:paraId="1F9FFFAE" w14:textId="582084E2" w:rsidR="008A6F5C" w:rsidRPr="008A6F5C" w:rsidRDefault="00A54DB9" w:rsidP="005E62A5">
      <w:pPr>
        <w:rPr>
          <w:rFonts w:ascii="Verdana" w:hAnsi="Verdana"/>
        </w:rPr>
      </w:pPr>
      <w:r>
        <w:rPr>
          <w:rFonts w:ascii="Verdana" w:hAnsi="Verdana"/>
        </w:rPr>
        <w:t xml:space="preserve">Looking forwards, the Service has commissioned scientific advisors Bureau Veritas to conduct </w:t>
      </w:r>
      <w:r w:rsidR="008A6F5C">
        <w:rPr>
          <w:rFonts w:ascii="Verdana" w:hAnsi="Verdana"/>
        </w:rPr>
        <w:t xml:space="preserve">a programme of </w:t>
      </w:r>
      <w:r>
        <w:rPr>
          <w:rFonts w:ascii="Verdana" w:hAnsi="Verdana"/>
        </w:rPr>
        <w:t xml:space="preserve">air monitoring in the crew cabs and lockers of appliances </w:t>
      </w:r>
      <w:r w:rsidR="008A6F5C">
        <w:rPr>
          <w:rFonts w:ascii="Verdana" w:hAnsi="Verdana"/>
        </w:rPr>
        <w:t>to determine whether contaminants are present and at what levels. The outcomes of this work will inform future activities in managing the risks posed by contaminants.</w:t>
      </w:r>
    </w:p>
    <w:p w14:paraId="789B6583" w14:textId="60E72C6B" w:rsidR="004E2368" w:rsidRPr="00F779E6" w:rsidRDefault="004E2368" w:rsidP="005E62A5">
      <w:pPr>
        <w:rPr>
          <w:rFonts w:ascii="Verdana" w:hAnsi="Verdana"/>
        </w:rPr>
      </w:pPr>
      <w:r w:rsidRPr="00474A88">
        <w:rPr>
          <w:rFonts w:ascii="Verdana" w:hAnsi="Verdana"/>
          <w:sz w:val="44"/>
          <w:szCs w:val="44"/>
        </w:rPr>
        <w:t xml:space="preserve">Working </w:t>
      </w:r>
      <w:r w:rsidR="00F64DAA" w:rsidRPr="00474A88">
        <w:rPr>
          <w:rFonts w:ascii="Verdana" w:hAnsi="Verdana"/>
          <w:sz w:val="44"/>
          <w:szCs w:val="44"/>
        </w:rPr>
        <w:t>with</w:t>
      </w:r>
      <w:r w:rsidRPr="00474A88">
        <w:rPr>
          <w:rFonts w:ascii="Verdana" w:hAnsi="Verdana"/>
          <w:sz w:val="44"/>
          <w:szCs w:val="44"/>
        </w:rPr>
        <w:t xml:space="preserve"> </w:t>
      </w:r>
      <w:r w:rsidR="0093765C" w:rsidRPr="00474A88">
        <w:rPr>
          <w:rFonts w:ascii="Verdana" w:hAnsi="Verdana"/>
          <w:sz w:val="44"/>
          <w:szCs w:val="44"/>
        </w:rPr>
        <w:t>o</w:t>
      </w:r>
      <w:r w:rsidRPr="00474A88">
        <w:rPr>
          <w:rFonts w:ascii="Verdana" w:hAnsi="Verdana"/>
          <w:sz w:val="44"/>
          <w:szCs w:val="44"/>
        </w:rPr>
        <w:t>thers</w:t>
      </w:r>
    </w:p>
    <w:p w14:paraId="7C924800" w14:textId="77777777" w:rsidR="009F4455" w:rsidRDefault="002E6FC2" w:rsidP="00AF42BB">
      <w:pPr>
        <w:spacing w:after="0" w:line="240" w:lineRule="auto"/>
        <w:rPr>
          <w:rFonts w:ascii="Verdana" w:hAnsi="Verdana"/>
          <w:b/>
        </w:rPr>
      </w:pPr>
      <w:r>
        <w:rPr>
          <w:rFonts w:ascii="Verdana" w:hAnsi="Verdana"/>
          <w:b/>
        </w:rPr>
        <w:t xml:space="preserve">Internally  </w:t>
      </w:r>
    </w:p>
    <w:p w14:paraId="12E11A1E" w14:textId="77777777" w:rsidR="009F4455" w:rsidRDefault="009F4455" w:rsidP="00AF42BB">
      <w:pPr>
        <w:spacing w:after="0" w:line="240" w:lineRule="auto"/>
        <w:rPr>
          <w:rFonts w:ascii="Verdana" w:hAnsi="Verdana"/>
          <w:b/>
        </w:rPr>
      </w:pPr>
    </w:p>
    <w:p w14:paraId="60B3BCF3" w14:textId="69057ACA" w:rsidR="00F5204B" w:rsidRDefault="008866EB" w:rsidP="0093765C">
      <w:pPr>
        <w:spacing w:after="0"/>
        <w:rPr>
          <w:rFonts w:ascii="Verdana" w:hAnsi="Verdana"/>
        </w:rPr>
      </w:pPr>
      <w:r>
        <w:rPr>
          <w:rFonts w:ascii="Verdana" w:hAnsi="Verdana"/>
        </w:rPr>
        <w:t xml:space="preserve">The pandemic has necessitated the requirement for departments to work </w:t>
      </w:r>
      <w:r w:rsidR="000751E2">
        <w:rPr>
          <w:rFonts w:ascii="Verdana" w:hAnsi="Verdana"/>
        </w:rPr>
        <w:t xml:space="preserve">more closely together. </w:t>
      </w:r>
      <w:r w:rsidR="00E54C3E">
        <w:rPr>
          <w:rFonts w:ascii="Verdana" w:hAnsi="Verdana"/>
        </w:rPr>
        <w:t xml:space="preserve">The Pandemic Response and Recovery groups </w:t>
      </w:r>
      <w:r w:rsidR="00090ABF">
        <w:rPr>
          <w:rFonts w:ascii="Verdana" w:hAnsi="Verdana"/>
        </w:rPr>
        <w:t xml:space="preserve">comprise middle managers and department heads who have worked tirelessly </w:t>
      </w:r>
      <w:r w:rsidR="00BB001E">
        <w:rPr>
          <w:rFonts w:ascii="Verdana" w:hAnsi="Verdana"/>
        </w:rPr>
        <w:t>to respond to and recover from COVID-19</w:t>
      </w:r>
      <w:r w:rsidR="003D43C3">
        <w:rPr>
          <w:rFonts w:ascii="Verdana" w:hAnsi="Verdana"/>
        </w:rPr>
        <w:t xml:space="preserve"> throughout the past </w:t>
      </w:r>
      <w:r w:rsidR="000F3D1C">
        <w:rPr>
          <w:rFonts w:ascii="Verdana" w:hAnsi="Verdana"/>
        </w:rPr>
        <w:t>18 months.</w:t>
      </w:r>
      <w:r w:rsidR="00BB001E">
        <w:rPr>
          <w:rFonts w:ascii="Verdana" w:hAnsi="Verdana"/>
        </w:rPr>
        <w:t xml:space="preserve"> </w:t>
      </w:r>
    </w:p>
    <w:p w14:paraId="124494E4" w14:textId="376775A1" w:rsidR="000F3D1C" w:rsidRDefault="000F3D1C" w:rsidP="0093765C">
      <w:pPr>
        <w:spacing w:after="0"/>
        <w:rPr>
          <w:rFonts w:ascii="Verdana" w:hAnsi="Verdana"/>
        </w:rPr>
      </w:pPr>
    </w:p>
    <w:p w14:paraId="17188153" w14:textId="46BC94E2" w:rsidR="00367560" w:rsidRDefault="00367560" w:rsidP="0093765C">
      <w:pPr>
        <w:spacing w:after="0"/>
        <w:rPr>
          <w:rFonts w:ascii="Verdana" w:hAnsi="Verdana"/>
        </w:rPr>
      </w:pPr>
      <w:r>
        <w:rPr>
          <w:rFonts w:ascii="Verdana" w:hAnsi="Verdana"/>
        </w:rPr>
        <w:t>Managers from Property, Health and Safety</w:t>
      </w:r>
      <w:r w:rsidR="00372207">
        <w:rPr>
          <w:rFonts w:ascii="Verdana" w:hAnsi="Verdana"/>
        </w:rPr>
        <w:t>, Procurement</w:t>
      </w:r>
      <w:r>
        <w:rPr>
          <w:rFonts w:ascii="Verdana" w:hAnsi="Verdana"/>
        </w:rPr>
        <w:t xml:space="preserve"> and </w:t>
      </w:r>
      <w:r w:rsidR="00303B61">
        <w:rPr>
          <w:rFonts w:ascii="Verdana" w:hAnsi="Verdana"/>
        </w:rPr>
        <w:t xml:space="preserve">Response </w:t>
      </w:r>
      <w:r w:rsidR="00372207">
        <w:rPr>
          <w:rFonts w:ascii="Verdana" w:hAnsi="Verdana"/>
        </w:rPr>
        <w:t xml:space="preserve">have been working together on the viability of an Urban Search and Rescue (USAR) training rig which will replace the traditional drill tower. </w:t>
      </w:r>
      <w:r w:rsidR="00634899">
        <w:rPr>
          <w:rFonts w:ascii="Verdana" w:hAnsi="Verdana"/>
        </w:rPr>
        <w:t>As this project progresses there will be a requirement to continue to work together until the project comes to fruition and the rig is installed.</w:t>
      </w:r>
      <w:r w:rsidR="00372207">
        <w:rPr>
          <w:rFonts w:ascii="Verdana" w:hAnsi="Verdana"/>
        </w:rPr>
        <w:t xml:space="preserve"> </w:t>
      </w:r>
    </w:p>
    <w:p w14:paraId="68DB776A" w14:textId="77777777" w:rsidR="00634899" w:rsidRDefault="00634899" w:rsidP="001E1551">
      <w:pPr>
        <w:rPr>
          <w:rFonts w:ascii="Verdana" w:hAnsi="Verdana"/>
          <w:b/>
        </w:rPr>
      </w:pPr>
    </w:p>
    <w:p w14:paraId="1434121B" w14:textId="613EF7ED" w:rsidR="009F4455" w:rsidRDefault="009F4455" w:rsidP="001E1551">
      <w:pPr>
        <w:rPr>
          <w:rFonts w:ascii="Verdana" w:hAnsi="Verdana"/>
          <w:b/>
        </w:rPr>
      </w:pPr>
      <w:r>
        <w:rPr>
          <w:rFonts w:ascii="Verdana" w:hAnsi="Verdana"/>
          <w:b/>
        </w:rPr>
        <w:lastRenderedPageBreak/>
        <w:t>Externally</w:t>
      </w:r>
    </w:p>
    <w:p w14:paraId="2CA75B32" w14:textId="7845F519" w:rsidR="002A2A30" w:rsidRDefault="00F818BE" w:rsidP="002A2A30">
      <w:pPr>
        <w:rPr>
          <w:rFonts w:ascii="Verdana" w:hAnsi="Verdana" w:cs="Verdana"/>
          <w:lang w:eastAsia="en-GB"/>
        </w:rPr>
      </w:pPr>
      <w:r>
        <w:rPr>
          <w:rFonts w:ascii="Verdana" w:hAnsi="Verdana"/>
          <w:b/>
        </w:rPr>
        <w:t>Health and Safety business continuity</w:t>
      </w:r>
      <w:r w:rsidR="00A47028">
        <w:rPr>
          <w:rFonts w:ascii="Verdana" w:hAnsi="Verdana"/>
          <w:b/>
        </w:rPr>
        <w:t xml:space="preserve"> – </w:t>
      </w:r>
      <w:r w:rsidR="00054D63">
        <w:rPr>
          <w:rFonts w:ascii="Verdana" w:hAnsi="Verdana"/>
          <w:bCs/>
        </w:rPr>
        <w:t xml:space="preserve">as part of the response to the pandemic the three Thames Valley Service Health and Safety Managers </w:t>
      </w:r>
      <w:r w:rsidR="001F6C5F">
        <w:rPr>
          <w:rFonts w:ascii="Verdana" w:hAnsi="Verdana"/>
          <w:bCs/>
        </w:rPr>
        <w:t>set up a mutual assistance programme in</w:t>
      </w:r>
      <w:r w:rsidR="0098725B">
        <w:rPr>
          <w:rFonts w:ascii="Verdana" w:hAnsi="Verdana"/>
          <w:bCs/>
        </w:rPr>
        <w:t xml:space="preserve"> preparation for</w:t>
      </w:r>
      <w:r w:rsidR="00AB4E5F">
        <w:rPr>
          <w:rFonts w:ascii="Verdana" w:hAnsi="Verdana"/>
          <w:bCs/>
        </w:rPr>
        <w:t xml:space="preserve"> the possibility of a team being depleted through COVID-19.</w:t>
      </w:r>
      <w:r w:rsidR="00711231">
        <w:rPr>
          <w:rFonts w:ascii="Verdana" w:hAnsi="Verdana"/>
          <w:bCs/>
        </w:rPr>
        <w:t xml:space="preserve"> Fortunately, </w:t>
      </w:r>
      <w:r w:rsidR="00BD0D45">
        <w:rPr>
          <w:rFonts w:ascii="Verdana" w:hAnsi="Verdana"/>
          <w:bCs/>
        </w:rPr>
        <w:t xml:space="preserve">so far, it has not </w:t>
      </w:r>
      <w:r w:rsidR="00794D22">
        <w:rPr>
          <w:rFonts w:ascii="Verdana" w:hAnsi="Verdana"/>
          <w:bCs/>
        </w:rPr>
        <w:t>been required</w:t>
      </w:r>
      <w:r w:rsidR="00BD0D45">
        <w:rPr>
          <w:rFonts w:ascii="Verdana" w:hAnsi="Verdana"/>
          <w:bCs/>
        </w:rPr>
        <w:t>.</w:t>
      </w:r>
    </w:p>
    <w:p w14:paraId="6114CEC8" w14:textId="2C00F493" w:rsidR="00B97785" w:rsidRDefault="007040F4" w:rsidP="002F7A0E">
      <w:pPr>
        <w:rPr>
          <w:rFonts w:ascii="Verdana" w:hAnsi="Verdana"/>
        </w:rPr>
      </w:pPr>
      <w:r w:rsidRPr="007040F4">
        <w:rPr>
          <w:rFonts w:ascii="Verdana" w:hAnsi="Verdana"/>
          <w:b/>
          <w:bCs/>
        </w:rPr>
        <w:t>Working with other agencies</w:t>
      </w:r>
      <w:r>
        <w:rPr>
          <w:rFonts w:ascii="Verdana" w:hAnsi="Verdana"/>
        </w:rPr>
        <w:t xml:space="preserve"> </w:t>
      </w:r>
      <w:r w:rsidR="00B949A2">
        <w:rPr>
          <w:rFonts w:ascii="Verdana" w:hAnsi="Verdana"/>
        </w:rPr>
        <w:t>–</w:t>
      </w:r>
      <w:r>
        <w:rPr>
          <w:rFonts w:ascii="Verdana" w:hAnsi="Verdana"/>
        </w:rPr>
        <w:t xml:space="preserve"> </w:t>
      </w:r>
      <w:r w:rsidR="00B949A2">
        <w:rPr>
          <w:rFonts w:ascii="Verdana" w:hAnsi="Verdana"/>
        </w:rPr>
        <w:t xml:space="preserve">the response to the pandemic saw Service </w:t>
      </w:r>
      <w:r w:rsidR="00AB58A8">
        <w:rPr>
          <w:rFonts w:ascii="Verdana" w:hAnsi="Verdana"/>
        </w:rPr>
        <w:t xml:space="preserve">employees </w:t>
      </w:r>
      <w:r w:rsidR="00B949A2">
        <w:rPr>
          <w:rFonts w:ascii="Verdana" w:hAnsi="Verdana"/>
        </w:rPr>
        <w:t>work</w:t>
      </w:r>
      <w:r w:rsidR="00A67994">
        <w:rPr>
          <w:rFonts w:ascii="Verdana" w:hAnsi="Verdana"/>
        </w:rPr>
        <w:t>ing</w:t>
      </w:r>
      <w:r w:rsidR="00B949A2">
        <w:rPr>
          <w:rFonts w:ascii="Verdana" w:hAnsi="Verdana"/>
        </w:rPr>
        <w:t xml:space="preserve"> with partner agencies and local authorities in ways that </w:t>
      </w:r>
      <w:r w:rsidR="00AB58A8">
        <w:rPr>
          <w:rFonts w:ascii="Verdana" w:hAnsi="Verdana"/>
        </w:rPr>
        <w:t>were very different</w:t>
      </w:r>
      <w:r w:rsidR="00E15E47">
        <w:rPr>
          <w:rFonts w:ascii="Verdana" w:hAnsi="Verdana"/>
        </w:rPr>
        <w:t xml:space="preserve"> – see the range of activities in the </w:t>
      </w:r>
      <w:r w:rsidR="00442867">
        <w:rPr>
          <w:rFonts w:ascii="Verdana" w:hAnsi="Verdana"/>
          <w:i/>
          <w:iCs/>
        </w:rPr>
        <w:t xml:space="preserve">COVID-19 pandemic section – page </w:t>
      </w:r>
      <w:r w:rsidR="00A926DE">
        <w:rPr>
          <w:rFonts w:ascii="Verdana" w:hAnsi="Verdana"/>
          <w:i/>
          <w:iCs/>
        </w:rPr>
        <w:t>7</w:t>
      </w:r>
      <w:r w:rsidR="00442867">
        <w:rPr>
          <w:rFonts w:ascii="Verdana" w:hAnsi="Verdana"/>
          <w:i/>
          <w:iCs/>
        </w:rPr>
        <w:t>.</w:t>
      </w:r>
      <w:r w:rsidR="00442867">
        <w:rPr>
          <w:rFonts w:ascii="Verdana" w:hAnsi="Verdana"/>
        </w:rPr>
        <w:t xml:space="preserve"> Whilst </w:t>
      </w:r>
      <w:r w:rsidR="002F66FC">
        <w:rPr>
          <w:rFonts w:ascii="Verdana" w:hAnsi="Verdana"/>
        </w:rPr>
        <w:t xml:space="preserve">some of these activities presented challenges the commitment to achieving them </w:t>
      </w:r>
      <w:r w:rsidR="00E80C79">
        <w:rPr>
          <w:rFonts w:ascii="Verdana" w:hAnsi="Verdana"/>
        </w:rPr>
        <w:t>never wavered</w:t>
      </w:r>
      <w:r w:rsidR="004D6BA8">
        <w:rPr>
          <w:rFonts w:ascii="Verdana" w:hAnsi="Verdana"/>
        </w:rPr>
        <w:t xml:space="preserve"> </w:t>
      </w:r>
      <w:r w:rsidR="003C558A">
        <w:rPr>
          <w:rFonts w:ascii="Verdana" w:hAnsi="Verdana"/>
        </w:rPr>
        <w:t xml:space="preserve">and the completion of each </w:t>
      </w:r>
      <w:r w:rsidR="00A57351">
        <w:rPr>
          <w:rFonts w:ascii="Verdana" w:hAnsi="Verdana"/>
        </w:rPr>
        <w:t>was recognised and celebrated by all parties.</w:t>
      </w:r>
    </w:p>
    <w:p w14:paraId="537DEA52" w14:textId="3AC98436" w:rsidR="004D6BA8" w:rsidRPr="00A12BB5" w:rsidRDefault="004D6BA8" w:rsidP="002F7A0E">
      <w:pPr>
        <w:rPr>
          <w:rFonts w:ascii="Verdana" w:hAnsi="Verdana"/>
        </w:rPr>
      </w:pPr>
      <w:r w:rsidRPr="004D6BA8">
        <w:rPr>
          <w:rFonts w:ascii="Verdana" w:hAnsi="Verdana"/>
          <w:b/>
          <w:bCs/>
        </w:rPr>
        <w:t>NHS mass vaccination centres</w:t>
      </w:r>
      <w:r>
        <w:rPr>
          <w:rFonts w:ascii="Verdana" w:hAnsi="Verdana"/>
        </w:rPr>
        <w:t xml:space="preserve"> </w:t>
      </w:r>
      <w:r w:rsidR="00A57351">
        <w:rPr>
          <w:rFonts w:ascii="Verdana" w:hAnsi="Verdana"/>
        </w:rPr>
        <w:t>–</w:t>
      </w:r>
      <w:r>
        <w:rPr>
          <w:rFonts w:ascii="Verdana" w:hAnsi="Verdana"/>
        </w:rPr>
        <w:t xml:space="preserve"> </w:t>
      </w:r>
      <w:r w:rsidR="00A57351">
        <w:rPr>
          <w:rFonts w:ascii="Verdana" w:hAnsi="Verdana"/>
        </w:rPr>
        <w:t>with the NHS being teste</w:t>
      </w:r>
      <w:r w:rsidR="00937438">
        <w:rPr>
          <w:rFonts w:ascii="Verdana" w:hAnsi="Verdana"/>
        </w:rPr>
        <w:t xml:space="preserve">d in </w:t>
      </w:r>
      <w:r w:rsidR="008A46C4">
        <w:rPr>
          <w:rFonts w:ascii="Verdana" w:hAnsi="Verdana"/>
        </w:rPr>
        <w:t>these unprecedented</w:t>
      </w:r>
      <w:r w:rsidR="00937438">
        <w:rPr>
          <w:rFonts w:ascii="Verdana" w:hAnsi="Verdana"/>
        </w:rPr>
        <w:t xml:space="preserve"> times, the Service was </w:t>
      </w:r>
      <w:r w:rsidR="00632617">
        <w:rPr>
          <w:rFonts w:ascii="Verdana" w:hAnsi="Verdana"/>
        </w:rPr>
        <w:t>asked for assistance in the setting up of mass vaccination centres</w:t>
      </w:r>
      <w:r w:rsidR="008A46C4">
        <w:rPr>
          <w:rFonts w:ascii="Verdana" w:hAnsi="Verdana"/>
        </w:rPr>
        <w:t>. O</w:t>
      </w:r>
      <w:r w:rsidR="00CC3181">
        <w:rPr>
          <w:rFonts w:ascii="Verdana" w:hAnsi="Verdana"/>
        </w:rPr>
        <w:t>nce venues were de</w:t>
      </w:r>
      <w:r w:rsidR="00C81E3D">
        <w:rPr>
          <w:rFonts w:ascii="Verdana" w:hAnsi="Verdana"/>
        </w:rPr>
        <w:t>termined – one each in Milton</w:t>
      </w:r>
      <w:r w:rsidR="009C64EA">
        <w:rPr>
          <w:rFonts w:ascii="Verdana" w:hAnsi="Verdana"/>
        </w:rPr>
        <w:t xml:space="preserve"> Keynes, Aylesbury and High Wycombe</w:t>
      </w:r>
      <w:r w:rsidR="00C81E3D">
        <w:rPr>
          <w:rFonts w:ascii="Verdana" w:hAnsi="Verdana"/>
        </w:rPr>
        <w:t xml:space="preserve">, operational officers were assigned </w:t>
      </w:r>
      <w:r w:rsidR="00EE456B">
        <w:rPr>
          <w:rFonts w:ascii="Verdana" w:hAnsi="Verdana"/>
        </w:rPr>
        <w:t xml:space="preserve">to work with </w:t>
      </w:r>
      <w:r w:rsidR="003370C4">
        <w:rPr>
          <w:rFonts w:ascii="Verdana" w:hAnsi="Verdana"/>
        </w:rPr>
        <w:t xml:space="preserve">NHS staff </w:t>
      </w:r>
      <w:r w:rsidR="004374BB">
        <w:rPr>
          <w:rFonts w:ascii="Verdana" w:hAnsi="Verdana"/>
        </w:rPr>
        <w:t xml:space="preserve">in the setting up of the vaccination centres and </w:t>
      </w:r>
      <w:r w:rsidR="00C533E1">
        <w:rPr>
          <w:rFonts w:ascii="Verdana" w:hAnsi="Verdana"/>
        </w:rPr>
        <w:t>once established, the facilitation of the vaccination programme.</w:t>
      </w:r>
      <w:r w:rsidR="00B65F59">
        <w:rPr>
          <w:rFonts w:ascii="Verdana" w:hAnsi="Verdana"/>
        </w:rPr>
        <w:t xml:space="preserve"> Another example of positive working relationships with partner agencies </w:t>
      </w:r>
      <w:r w:rsidR="006D3631">
        <w:rPr>
          <w:rFonts w:ascii="Verdana" w:hAnsi="Verdana"/>
        </w:rPr>
        <w:t xml:space="preserve">with the success of the centres being acknowledged at </w:t>
      </w:r>
      <w:r w:rsidR="005E08F0">
        <w:rPr>
          <w:rFonts w:ascii="Verdana" w:hAnsi="Verdana"/>
        </w:rPr>
        <w:t>Government level.</w:t>
      </w:r>
      <w:r w:rsidR="002314F9">
        <w:rPr>
          <w:rFonts w:ascii="Verdana" w:hAnsi="Verdana"/>
        </w:rPr>
        <w:t xml:space="preserve"> </w:t>
      </w:r>
    </w:p>
    <w:p w14:paraId="7E25C018" w14:textId="6946ED91" w:rsidR="002F7A0E" w:rsidRPr="00F12444" w:rsidRDefault="00627ED9" w:rsidP="002F7A0E">
      <w:pPr>
        <w:rPr>
          <w:noProof/>
          <w:lang w:eastAsia="en-GB"/>
        </w:rPr>
      </w:pPr>
      <w:r>
        <w:rPr>
          <w:rFonts w:ascii="Verdana" w:hAnsi="Verdana"/>
          <w:sz w:val="44"/>
          <w:szCs w:val="44"/>
        </w:rPr>
        <w:t>Health and Safety</w:t>
      </w:r>
      <w:r w:rsidR="002F7A0E" w:rsidRPr="00817064">
        <w:rPr>
          <w:rFonts w:ascii="Verdana" w:hAnsi="Verdana"/>
          <w:sz w:val="44"/>
          <w:szCs w:val="44"/>
        </w:rPr>
        <w:t xml:space="preserve"> training</w:t>
      </w:r>
    </w:p>
    <w:p w14:paraId="523A335D" w14:textId="283A99A2" w:rsidR="00D86231" w:rsidRDefault="005253CE" w:rsidP="002F7A0E">
      <w:pPr>
        <w:rPr>
          <w:rFonts w:ascii="Verdana" w:hAnsi="Verdana"/>
        </w:rPr>
      </w:pPr>
      <w:r>
        <w:rPr>
          <w:rFonts w:ascii="Verdana" w:hAnsi="Verdana"/>
        </w:rPr>
        <w:t xml:space="preserve">A level of </w:t>
      </w:r>
      <w:r w:rsidR="003738D6">
        <w:rPr>
          <w:rFonts w:ascii="Verdana" w:hAnsi="Verdana"/>
        </w:rPr>
        <w:t>Health and Safety training</w:t>
      </w:r>
      <w:r w:rsidR="00950557">
        <w:rPr>
          <w:rFonts w:ascii="Verdana" w:hAnsi="Verdana"/>
        </w:rPr>
        <w:t xml:space="preserve"> is provided to</w:t>
      </w:r>
      <w:r>
        <w:rPr>
          <w:rFonts w:ascii="Verdana" w:hAnsi="Verdana"/>
        </w:rPr>
        <w:t xml:space="preserve"> all</w:t>
      </w:r>
      <w:r w:rsidR="00950557">
        <w:rPr>
          <w:rFonts w:ascii="Verdana" w:hAnsi="Verdana"/>
        </w:rPr>
        <w:t xml:space="preserve"> employees </w:t>
      </w:r>
      <w:r>
        <w:rPr>
          <w:rFonts w:ascii="Verdana" w:hAnsi="Verdana"/>
        </w:rPr>
        <w:t xml:space="preserve">as part of an induction programme </w:t>
      </w:r>
      <w:r w:rsidR="00653086">
        <w:rPr>
          <w:rFonts w:ascii="Verdana" w:hAnsi="Verdana"/>
        </w:rPr>
        <w:t>when joining</w:t>
      </w:r>
      <w:r>
        <w:rPr>
          <w:rFonts w:ascii="Verdana" w:hAnsi="Verdana"/>
        </w:rPr>
        <w:t xml:space="preserve"> the Service </w:t>
      </w:r>
      <w:r w:rsidR="00203E72">
        <w:rPr>
          <w:rFonts w:ascii="Verdana" w:hAnsi="Verdana"/>
        </w:rPr>
        <w:t xml:space="preserve">and </w:t>
      </w:r>
      <w:r w:rsidR="00653086">
        <w:rPr>
          <w:rFonts w:ascii="Verdana" w:hAnsi="Verdana"/>
        </w:rPr>
        <w:t xml:space="preserve">regularly </w:t>
      </w:r>
      <w:r w:rsidR="00003638">
        <w:rPr>
          <w:rFonts w:ascii="Verdana" w:hAnsi="Verdana"/>
        </w:rPr>
        <w:t xml:space="preserve">for Manual Handling and Display Screen Equipment </w:t>
      </w:r>
      <w:r w:rsidR="00203E72">
        <w:rPr>
          <w:rFonts w:ascii="Verdana" w:hAnsi="Verdana"/>
        </w:rPr>
        <w:t>as a legislative requirement</w:t>
      </w:r>
      <w:r w:rsidR="00FE77F3">
        <w:rPr>
          <w:rFonts w:ascii="Verdana" w:hAnsi="Verdana"/>
        </w:rPr>
        <w:t>.</w:t>
      </w:r>
      <w:r w:rsidR="000B7AC5">
        <w:rPr>
          <w:rFonts w:ascii="Verdana" w:hAnsi="Verdana"/>
        </w:rPr>
        <w:t xml:space="preserve"> </w:t>
      </w:r>
    </w:p>
    <w:p w14:paraId="2339DB1A" w14:textId="6E96B529" w:rsidR="003738D6" w:rsidRDefault="000B7AC5" w:rsidP="002F7A0E">
      <w:pPr>
        <w:rPr>
          <w:rFonts w:ascii="Verdana" w:hAnsi="Verdana"/>
        </w:rPr>
      </w:pPr>
      <w:r>
        <w:rPr>
          <w:rFonts w:ascii="Verdana" w:hAnsi="Verdana"/>
        </w:rPr>
        <w:t>Additionally, any health and safety training relevant to role i</w:t>
      </w:r>
      <w:r w:rsidR="001D1B71">
        <w:rPr>
          <w:rFonts w:ascii="Verdana" w:hAnsi="Verdana"/>
        </w:rPr>
        <w:t xml:space="preserve">s </w:t>
      </w:r>
      <w:r w:rsidR="00BA144D">
        <w:rPr>
          <w:rFonts w:ascii="Verdana" w:hAnsi="Verdana"/>
        </w:rPr>
        <w:t xml:space="preserve">ideally </w:t>
      </w:r>
      <w:r w:rsidR="00AD7852">
        <w:rPr>
          <w:rFonts w:ascii="Verdana" w:hAnsi="Verdana"/>
        </w:rPr>
        <w:t>provided as acquisition training prior to an individual going into role.</w:t>
      </w:r>
      <w:r w:rsidR="00224315">
        <w:rPr>
          <w:rFonts w:ascii="Verdana" w:hAnsi="Verdana"/>
        </w:rPr>
        <w:t xml:space="preserve"> This has been one of the objectives set by the Health and Safety Manager</w:t>
      </w:r>
      <w:r w:rsidR="00BA144D">
        <w:rPr>
          <w:rFonts w:ascii="Verdana" w:hAnsi="Verdana"/>
        </w:rPr>
        <w:t xml:space="preserve"> over the past two years</w:t>
      </w:r>
      <w:r w:rsidR="00224315">
        <w:rPr>
          <w:rFonts w:ascii="Verdana" w:hAnsi="Verdana"/>
        </w:rPr>
        <w:t xml:space="preserve"> and it is pleasing to </w:t>
      </w:r>
      <w:r w:rsidR="00BA144D">
        <w:rPr>
          <w:rFonts w:ascii="Verdana" w:hAnsi="Verdana"/>
        </w:rPr>
        <w:t xml:space="preserve">confirm that this is now </w:t>
      </w:r>
      <w:r w:rsidR="007A699E">
        <w:rPr>
          <w:rFonts w:ascii="Verdana" w:hAnsi="Verdana"/>
        </w:rPr>
        <w:t xml:space="preserve">routinely </w:t>
      </w:r>
      <w:r w:rsidR="00BA144D">
        <w:rPr>
          <w:rFonts w:ascii="Verdana" w:hAnsi="Verdana"/>
        </w:rPr>
        <w:t>the case</w:t>
      </w:r>
      <w:r w:rsidR="00CB291F">
        <w:rPr>
          <w:rFonts w:ascii="Verdana" w:hAnsi="Verdana"/>
        </w:rPr>
        <w:t>.</w:t>
      </w:r>
    </w:p>
    <w:p w14:paraId="75C9F19C" w14:textId="173269F8" w:rsidR="00FA30E1" w:rsidRDefault="00FA7642" w:rsidP="002F7A0E">
      <w:pPr>
        <w:rPr>
          <w:rFonts w:ascii="Verdana" w:hAnsi="Verdana"/>
        </w:rPr>
      </w:pPr>
      <w:r>
        <w:rPr>
          <w:rFonts w:ascii="Verdana" w:hAnsi="Verdana"/>
        </w:rPr>
        <w:t>The procurement of Health and Safety training proved difficult during the pandemic as</w:t>
      </w:r>
      <w:r w:rsidR="00641B33">
        <w:rPr>
          <w:rFonts w:ascii="Verdana" w:hAnsi="Verdana"/>
        </w:rPr>
        <w:t xml:space="preserve"> the Government restrictions and the Service’s </w:t>
      </w:r>
      <w:r w:rsidR="008675D2">
        <w:rPr>
          <w:rFonts w:ascii="Verdana" w:hAnsi="Verdana"/>
        </w:rPr>
        <w:t xml:space="preserve">own </w:t>
      </w:r>
      <w:r w:rsidR="00641B33">
        <w:rPr>
          <w:rFonts w:ascii="Verdana" w:hAnsi="Verdana"/>
        </w:rPr>
        <w:t xml:space="preserve">COVID Secure measures did not support face to face training. Training providers </w:t>
      </w:r>
      <w:r w:rsidR="0010712C">
        <w:rPr>
          <w:rFonts w:ascii="Verdana" w:hAnsi="Verdana"/>
        </w:rPr>
        <w:t xml:space="preserve">had to adapt and introduce virtual training courses which </w:t>
      </w:r>
      <w:r w:rsidR="0079160E">
        <w:rPr>
          <w:rFonts w:ascii="Verdana" w:hAnsi="Verdana"/>
        </w:rPr>
        <w:t>was challenging for both the trainer and delegates</w:t>
      </w:r>
      <w:r w:rsidR="00521FD3">
        <w:rPr>
          <w:rFonts w:ascii="Verdana" w:hAnsi="Verdana"/>
        </w:rPr>
        <w:t>. It is fair to say that this method of learning did not suit everyone</w:t>
      </w:r>
      <w:r w:rsidR="00B10F7B">
        <w:rPr>
          <w:rFonts w:ascii="Verdana" w:hAnsi="Verdana"/>
        </w:rPr>
        <w:t xml:space="preserve"> so it is hoped </w:t>
      </w:r>
      <w:r w:rsidR="00CA0BE1">
        <w:rPr>
          <w:rFonts w:ascii="Verdana" w:hAnsi="Verdana"/>
        </w:rPr>
        <w:t xml:space="preserve">that a return to face to face training will be possible </w:t>
      </w:r>
      <w:r w:rsidR="00FA30E1">
        <w:rPr>
          <w:rFonts w:ascii="Verdana" w:hAnsi="Verdana"/>
        </w:rPr>
        <w:t>in the next financial year.</w:t>
      </w:r>
    </w:p>
    <w:p w14:paraId="09474F2F" w14:textId="0C688F7E" w:rsidR="002F7A0E" w:rsidRDefault="00FA30E1" w:rsidP="002F7A0E">
      <w:pPr>
        <w:rPr>
          <w:rFonts w:ascii="Verdana" w:hAnsi="Verdana"/>
        </w:rPr>
      </w:pPr>
      <w:r>
        <w:rPr>
          <w:rFonts w:ascii="Verdana" w:hAnsi="Verdana"/>
        </w:rPr>
        <w:t xml:space="preserve">Funding of £25,000 was </w:t>
      </w:r>
      <w:r w:rsidR="00824FEA">
        <w:rPr>
          <w:rFonts w:ascii="Verdana" w:hAnsi="Verdana"/>
        </w:rPr>
        <w:t xml:space="preserve">allocated to Health and Safety training and was used </w:t>
      </w:r>
      <w:r w:rsidR="001E350F">
        <w:rPr>
          <w:rFonts w:ascii="Verdana" w:hAnsi="Verdana"/>
        </w:rPr>
        <w:t xml:space="preserve">to provide the following courses. </w:t>
      </w:r>
    </w:p>
    <w:p w14:paraId="41AEEDDB" w14:textId="77777777" w:rsidR="005D5721" w:rsidRDefault="005D5721" w:rsidP="002F7A0E">
      <w:pPr>
        <w:rPr>
          <w:rFonts w:ascii="Verdana" w:hAnsi="Verdana"/>
          <w:b/>
        </w:rPr>
      </w:pPr>
    </w:p>
    <w:p w14:paraId="0FB5784C" w14:textId="79440634" w:rsidR="002F7A0E" w:rsidRPr="005C0B89" w:rsidRDefault="002F7A0E" w:rsidP="002F7A0E">
      <w:pPr>
        <w:rPr>
          <w:rFonts w:ascii="Verdana" w:hAnsi="Verdana"/>
          <w:b/>
        </w:rPr>
      </w:pPr>
      <w:r>
        <w:rPr>
          <w:rFonts w:ascii="Verdana" w:hAnsi="Verdana"/>
          <w:b/>
        </w:rPr>
        <w:lastRenderedPageBreak/>
        <w:t>External providers</w:t>
      </w:r>
    </w:p>
    <w:p w14:paraId="117016A5" w14:textId="1FDCC97B" w:rsidR="00106587" w:rsidRDefault="001E350F" w:rsidP="002F7A0E">
      <w:pPr>
        <w:rPr>
          <w:rFonts w:ascii="Verdana" w:hAnsi="Verdana"/>
        </w:rPr>
      </w:pPr>
      <w:r>
        <w:rPr>
          <w:rFonts w:ascii="Verdana" w:hAnsi="Verdana"/>
        </w:rPr>
        <w:t xml:space="preserve">Two virtual </w:t>
      </w:r>
      <w:r>
        <w:rPr>
          <w:rFonts w:ascii="Verdana" w:hAnsi="Verdana"/>
          <w:b/>
          <w:bCs/>
        </w:rPr>
        <w:t xml:space="preserve">Control of </w:t>
      </w:r>
      <w:r w:rsidR="005C74C1">
        <w:rPr>
          <w:rFonts w:ascii="Verdana" w:hAnsi="Verdana"/>
          <w:b/>
          <w:bCs/>
        </w:rPr>
        <w:t xml:space="preserve">Substances Hazardous to Health (COSHH) Assessors </w:t>
      </w:r>
      <w:r w:rsidR="005C74C1">
        <w:rPr>
          <w:rFonts w:ascii="Verdana" w:hAnsi="Verdana"/>
        </w:rPr>
        <w:t xml:space="preserve">courses took place </w:t>
      </w:r>
      <w:r w:rsidR="008749C7">
        <w:rPr>
          <w:rFonts w:ascii="Verdana" w:hAnsi="Verdana"/>
        </w:rPr>
        <w:t xml:space="preserve">as with staff moving </w:t>
      </w:r>
      <w:r w:rsidR="00F82BBD">
        <w:rPr>
          <w:rFonts w:ascii="Verdana" w:hAnsi="Verdana"/>
        </w:rPr>
        <w:t xml:space="preserve">stations/sites </w:t>
      </w:r>
      <w:r w:rsidR="008749C7">
        <w:rPr>
          <w:rFonts w:ascii="Verdana" w:hAnsi="Verdana"/>
        </w:rPr>
        <w:t>and retiring the pool of qualified assessors had been depleted.</w:t>
      </w:r>
    </w:p>
    <w:p w14:paraId="3FD4B441" w14:textId="7C7C6F71" w:rsidR="002F7A0E" w:rsidRDefault="009C2475" w:rsidP="002F7A0E">
      <w:pPr>
        <w:rPr>
          <w:rFonts w:ascii="Verdana" w:hAnsi="Verdana"/>
        </w:rPr>
      </w:pPr>
      <w:r>
        <w:rPr>
          <w:rFonts w:ascii="Verdana" w:hAnsi="Verdana"/>
        </w:rPr>
        <w:t>It was only necessary to run o</w:t>
      </w:r>
      <w:r w:rsidR="000740CD">
        <w:rPr>
          <w:rFonts w:ascii="Verdana" w:hAnsi="Verdana"/>
        </w:rPr>
        <w:t xml:space="preserve">ne </w:t>
      </w:r>
      <w:r w:rsidR="002F7A0E">
        <w:rPr>
          <w:rFonts w:ascii="Verdana" w:hAnsi="Verdana"/>
          <w:b/>
        </w:rPr>
        <w:t xml:space="preserve">Institute of Occupational Safety and Health (IOSH) Managing Safely </w:t>
      </w:r>
      <w:r w:rsidR="002F7A0E">
        <w:rPr>
          <w:rFonts w:ascii="Verdana" w:hAnsi="Verdana"/>
        </w:rPr>
        <w:t>course</w:t>
      </w:r>
      <w:r w:rsidR="00B05FD5">
        <w:rPr>
          <w:rFonts w:ascii="Verdana" w:hAnsi="Verdana"/>
        </w:rPr>
        <w:t xml:space="preserve"> </w:t>
      </w:r>
      <w:r>
        <w:rPr>
          <w:rFonts w:ascii="Verdana" w:hAnsi="Verdana"/>
        </w:rPr>
        <w:t xml:space="preserve">this year which </w:t>
      </w:r>
      <w:r w:rsidR="00B05FD5">
        <w:rPr>
          <w:rFonts w:ascii="Verdana" w:hAnsi="Verdana"/>
        </w:rPr>
        <w:t xml:space="preserve">took place in February 2021. </w:t>
      </w:r>
      <w:r w:rsidR="008618F9">
        <w:rPr>
          <w:rFonts w:ascii="Verdana" w:hAnsi="Verdana"/>
        </w:rPr>
        <w:t xml:space="preserve"> </w:t>
      </w:r>
      <w:r>
        <w:rPr>
          <w:rFonts w:ascii="Verdana" w:hAnsi="Verdana"/>
        </w:rPr>
        <w:t xml:space="preserve">Now that all staff in the Supervisory Manager pool </w:t>
      </w:r>
      <w:r w:rsidR="00233461">
        <w:rPr>
          <w:rFonts w:ascii="Verdana" w:hAnsi="Verdana"/>
        </w:rPr>
        <w:t xml:space="preserve">have completed their acquisition training </w:t>
      </w:r>
      <w:r w:rsidR="009A78E5">
        <w:rPr>
          <w:rFonts w:ascii="Verdana" w:hAnsi="Verdana"/>
        </w:rPr>
        <w:t xml:space="preserve">there is the potential that </w:t>
      </w:r>
      <w:r w:rsidR="00233461">
        <w:rPr>
          <w:rFonts w:ascii="Verdana" w:hAnsi="Verdana"/>
        </w:rPr>
        <w:t xml:space="preserve">in future </w:t>
      </w:r>
      <w:r w:rsidR="00B449D0">
        <w:rPr>
          <w:rFonts w:ascii="Verdana" w:hAnsi="Verdana"/>
        </w:rPr>
        <w:t>years,</w:t>
      </w:r>
      <w:r w:rsidR="00233461">
        <w:rPr>
          <w:rFonts w:ascii="Verdana" w:hAnsi="Verdana"/>
        </w:rPr>
        <w:t xml:space="preserve"> only</w:t>
      </w:r>
      <w:r w:rsidR="009A78E5">
        <w:rPr>
          <w:rFonts w:ascii="Verdana" w:hAnsi="Verdana"/>
        </w:rPr>
        <w:t xml:space="preserve"> one course will be needed</w:t>
      </w:r>
      <w:r w:rsidR="00233461">
        <w:rPr>
          <w:rFonts w:ascii="Verdana" w:hAnsi="Verdana"/>
        </w:rPr>
        <w:t xml:space="preserve"> thus allowing the funding to be utilised for other training requirements.</w:t>
      </w:r>
      <w:r w:rsidR="002F7A0E">
        <w:rPr>
          <w:rFonts w:ascii="Verdana" w:hAnsi="Verdana"/>
        </w:rPr>
        <w:t xml:space="preserve"> </w:t>
      </w:r>
    </w:p>
    <w:p w14:paraId="5E1407BD" w14:textId="12DF1126" w:rsidR="002F7A0E" w:rsidRDefault="008618F9" w:rsidP="002F7A0E">
      <w:pPr>
        <w:rPr>
          <w:rFonts w:ascii="Verdana" w:hAnsi="Verdana"/>
        </w:rPr>
      </w:pPr>
      <w:r>
        <w:rPr>
          <w:rFonts w:ascii="Verdana" w:hAnsi="Verdana"/>
        </w:rPr>
        <w:t>This year</w:t>
      </w:r>
      <w:r w:rsidR="003A0088">
        <w:rPr>
          <w:rFonts w:ascii="Verdana" w:hAnsi="Verdana"/>
        </w:rPr>
        <w:t>, as there were only a small number of</w:t>
      </w:r>
      <w:r w:rsidR="00A1790A">
        <w:rPr>
          <w:rFonts w:ascii="Verdana" w:hAnsi="Verdana"/>
        </w:rPr>
        <w:t xml:space="preserve"> employees who needed to undertake the </w:t>
      </w:r>
      <w:r w:rsidR="00A1790A" w:rsidRPr="00516479">
        <w:rPr>
          <w:rFonts w:ascii="Verdana" w:hAnsi="Verdana"/>
          <w:b/>
        </w:rPr>
        <w:t>National Examination Board in Occupational Safety and Health (</w:t>
      </w:r>
      <w:r w:rsidR="00A1790A" w:rsidRPr="000F0537">
        <w:rPr>
          <w:rFonts w:ascii="Verdana" w:hAnsi="Verdana"/>
          <w:b/>
        </w:rPr>
        <w:t>NEBOSH</w:t>
      </w:r>
      <w:r w:rsidR="00A1790A">
        <w:rPr>
          <w:rFonts w:ascii="Verdana" w:hAnsi="Verdana"/>
          <w:b/>
        </w:rPr>
        <w:t>)</w:t>
      </w:r>
      <w:r w:rsidR="00A1790A" w:rsidRPr="000F0537">
        <w:rPr>
          <w:rFonts w:ascii="Verdana" w:hAnsi="Verdana"/>
          <w:b/>
        </w:rPr>
        <w:t xml:space="preserve"> General Certificate</w:t>
      </w:r>
      <w:r w:rsidR="00A1790A">
        <w:rPr>
          <w:rFonts w:ascii="Verdana" w:hAnsi="Verdana"/>
          <w:b/>
        </w:rPr>
        <w:t>,</w:t>
      </w:r>
      <w:r w:rsidR="00A1790A">
        <w:rPr>
          <w:rFonts w:ascii="Verdana" w:hAnsi="Verdana"/>
        </w:rPr>
        <w:t xml:space="preserve"> </w:t>
      </w:r>
      <w:r w:rsidR="009A6470">
        <w:rPr>
          <w:rFonts w:ascii="Verdana" w:hAnsi="Verdana"/>
        </w:rPr>
        <w:t xml:space="preserve">BFRS </w:t>
      </w:r>
      <w:r w:rsidR="0054728B">
        <w:rPr>
          <w:rFonts w:ascii="Verdana" w:hAnsi="Verdana"/>
        </w:rPr>
        <w:t xml:space="preserve">delegates were able to attend a </w:t>
      </w:r>
      <w:r w:rsidR="002F7A0E">
        <w:rPr>
          <w:rFonts w:ascii="Verdana" w:hAnsi="Verdana"/>
        </w:rPr>
        <w:t>course</w:t>
      </w:r>
      <w:r w:rsidR="0054728B">
        <w:rPr>
          <w:rFonts w:ascii="Verdana" w:hAnsi="Verdana"/>
        </w:rPr>
        <w:t xml:space="preserve"> which was procured by Oxfordshire FRS</w:t>
      </w:r>
      <w:r w:rsidR="00AC2598">
        <w:rPr>
          <w:rFonts w:ascii="Verdana" w:hAnsi="Verdana"/>
        </w:rPr>
        <w:t>.</w:t>
      </w:r>
      <w:r w:rsidR="009E12F1">
        <w:rPr>
          <w:rFonts w:ascii="Verdana" w:hAnsi="Verdana"/>
        </w:rPr>
        <w:t xml:space="preserve"> </w:t>
      </w:r>
      <w:r w:rsidR="00C24FA2">
        <w:rPr>
          <w:rFonts w:ascii="Verdana" w:hAnsi="Verdana"/>
        </w:rPr>
        <w:t>This enable</w:t>
      </w:r>
      <w:r w:rsidR="00A42FAE">
        <w:rPr>
          <w:rFonts w:ascii="Verdana" w:hAnsi="Verdana"/>
        </w:rPr>
        <w:t>d</w:t>
      </w:r>
      <w:r w:rsidR="00C24FA2">
        <w:rPr>
          <w:rFonts w:ascii="Verdana" w:hAnsi="Verdana"/>
        </w:rPr>
        <w:t xml:space="preserve"> costs to be kept to a minimum </w:t>
      </w:r>
      <w:r w:rsidR="00DC5A8F">
        <w:rPr>
          <w:rFonts w:ascii="Verdana" w:hAnsi="Verdana"/>
        </w:rPr>
        <w:t xml:space="preserve">as there were no tutor or catering costs involved. </w:t>
      </w:r>
      <w:r w:rsidR="009E12F1">
        <w:rPr>
          <w:rFonts w:ascii="Verdana" w:hAnsi="Verdana"/>
        </w:rPr>
        <w:t xml:space="preserve">The course was run virtually in February </w:t>
      </w:r>
      <w:r w:rsidR="00E37A8E">
        <w:rPr>
          <w:rFonts w:ascii="Verdana" w:hAnsi="Verdana"/>
        </w:rPr>
        <w:t xml:space="preserve">and coincided with NEBOSH changing the examination process to ‘open book’ which proved challenging </w:t>
      </w:r>
      <w:r w:rsidR="00AC2598">
        <w:rPr>
          <w:rFonts w:ascii="Verdana" w:hAnsi="Verdana"/>
        </w:rPr>
        <w:t>as th</w:t>
      </w:r>
      <w:r w:rsidR="008C141C">
        <w:rPr>
          <w:rFonts w:ascii="Verdana" w:hAnsi="Verdana"/>
        </w:rPr>
        <w:t>is</w:t>
      </w:r>
      <w:r w:rsidR="00967CE7">
        <w:rPr>
          <w:rFonts w:ascii="Verdana" w:hAnsi="Verdana"/>
        </w:rPr>
        <w:t xml:space="preserve"> was a wholesale change and these delegates were the first</w:t>
      </w:r>
      <w:r w:rsidR="008C141C">
        <w:rPr>
          <w:rFonts w:ascii="Verdana" w:hAnsi="Verdana"/>
        </w:rPr>
        <w:t>,</w:t>
      </w:r>
      <w:r w:rsidR="00967CE7">
        <w:rPr>
          <w:rFonts w:ascii="Verdana" w:hAnsi="Verdana"/>
        </w:rPr>
        <w:t xml:space="preserve"> nationally</w:t>
      </w:r>
      <w:r w:rsidR="008C141C">
        <w:rPr>
          <w:rFonts w:ascii="Verdana" w:hAnsi="Verdana"/>
        </w:rPr>
        <w:t>,</w:t>
      </w:r>
      <w:r w:rsidR="00967CE7">
        <w:rPr>
          <w:rFonts w:ascii="Verdana" w:hAnsi="Verdana"/>
        </w:rPr>
        <w:t xml:space="preserve"> to go through the new process</w:t>
      </w:r>
      <w:r w:rsidR="006F1ABA">
        <w:rPr>
          <w:rFonts w:ascii="Verdana" w:hAnsi="Verdana"/>
        </w:rPr>
        <w:t>. Feedback at the end of the course highlighted the fact that</w:t>
      </w:r>
      <w:r w:rsidR="00E37A8E">
        <w:rPr>
          <w:rFonts w:ascii="Verdana" w:hAnsi="Verdana"/>
        </w:rPr>
        <w:t xml:space="preserve"> delegates were not able to </w:t>
      </w:r>
      <w:r w:rsidR="002D75A6">
        <w:rPr>
          <w:rFonts w:ascii="Verdana" w:hAnsi="Verdana"/>
        </w:rPr>
        <w:t>optimise the opportunity to learn from one another</w:t>
      </w:r>
      <w:r>
        <w:rPr>
          <w:rFonts w:ascii="Verdana" w:hAnsi="Verdana"/>
        </w:rPr>
        <w:t xml:space="preserve"> </w:t>
      </w:r>
      <w:r w:rsidR="006C72CF">
        <w:rPr>
          <w:rFonts w:ascii="Verdana" w:hAnsi="Verdana"/>
        </w:rPr>
        <w:t xml:space="preserve">as they would have been in a </w:t>
      </w:r>
      <w:r w:rsidR="002469C4">
        <w:rPr>
          <w:rFonts w:ascii="Verdana" w:hAnsi="Verdana"/>
        </w:rPr>
        <w:t>face-to-face</w:t>
      </w:r>
      <w:r w:rsidR="006C72CF">
        <w:rPr>
          <w:rFonts w:ascii="Verdana" w:hAnsi="Verdana"/>
        </w:rPr>
        <w:t xml:space="preserve"> scenario.</w:t>
      </w:r>
    </w:p>
    <w:p w14:paraId="4179CD9A" w14:textId="2835F0D1" w:rsidR="00AD0B57" w:rsidRDefault="00B449D0" w:rsidP="002F7A0E">
      <w:pPr>
        <w:rPr>
          <w:rFonts w:ascii="Verdana" w:hAnsi="Verdana"/>
        </w:rPr>
      </w:pPr>
      <w:r>
        <w:rPr>
          <w:rFonts w:ascii="Verdana" w:hAnsi="Verdana"/>
          <w:b/>
        </w:rPr>
        <w:t>Level 2 Accident Investigation</w:t>
      </w:r>
      <w:r w:rsidR="00AD0B57">
        <w:rPr>
          <w:rFonts w:ascii="Verdana" w:hAnsi="Verdana"/>
        </w:rPr>
        <w:t xml:space="preserve"> training took place in </w:t>
      </w:r>
      <w:r>
        <w:rPr>
          <w:rFonts w:ascii="Verdana" w:hAnsi="Verdana"/>
        </w:rPr>
        <w:t>November 2020 and January 2021. These courses were virtual with the provider delivering the training via Teams from his home in France due to lockdown.</w:t>
      </w:r>
    </w:p>
    <w:p w14:paraId="1683261F" w14:textId="59170F1E" w:rsidR="00EA7DA8" w:rsidRDefault="00AD0B57" w:rsidP="00246F25">
      <w:pPr>
        <w:rPr>
          <w:rFonts w:ascii="Verdana" w:hAnsi="Verdana"/>
        </w:rPr>
      </w:pPr>
      <w:r>
        <w:rPr>
          <w:rFonts w:ascii="Verdana" w:hAnsi="Verdana"/>
        </w:rPr>
        <w:t>A</w:t>
      </w:r>
      <w:r w:rsidR="00EC1976">
        <w:rPr>
          <w:rFonts w:ascii="Verdana" w:hAnsi="Verdana"/>
        </w:rPr>
        <w:t xml:space="preserve">ll new Station Commanders and Support staff equivalents </w:t>
      </w:r>
      <w:r w:rsidR="003B71C5">
        <w:rPr>
          <w:rFonts w:ascii="Verdana" w:hAnsi="Verdana"/>
        </w:rPr>
        <w:t>have now been trained to undertake Level 2 Accident Investigations</w:t>
      </w:r>
      <w:r w:rsidR="00EB370E">
        <w:rPr>
          <w:rFonts w:ascii="Verdana" w:hAnsi="Verdana"/>
        </w:rPr>
        <w:t xml:space="preserve"> which has eased the </w:t>
      </w:r>
      <w:r w:rsidR="00246F25">
        <w:rPr>
          <w:rFonts w:ascii="Verdana" w:hAnsi="Verdana"/>
        </w:rPr>
        <w:t xml:space="preserve">pressure </w:t>
      </w:r>
      <w:r w:rsidR="00EB370E">
        <w:rPr>
          <w:rFonts w:ascii="Verdana" w:hAnsi="Verdana"/>
        </w:rPr>
        <w:t xml:space="preserve">on </w:t>
      </w:r>
      <w:r w:rsidR="00B3789D">
        <w:rPr>
          <w:rFonts w:ascii="Verdana" w:hAnsi="Verdana"/>
        </w:rPr>
        <w:t xml:space="preserve">others </w:t>
      </w:r>
      <w:r w:rsidR="00246F25">
        <w:rPr>
          <w:rFonts w:ascii="Verdana" w:hAnsi="Verdana"/>
        </w:rPr>
        <w:t>when moderate safety events occur.</w:t>
      </w:r>
      <w:r>
        <w:rPr>
          <w:rFonts w:ascii="Verdana" w:hAnsi="Verdana"/>
        </w:rPr>
        <w:t xml:space="preserve"> </w:t>
      </w:r>
    </w:p>
    <w:p w14:paraId="5990956F" w14:textId="5184A319" w:rsidR="00973B11" w:rsidRDefault="00973B11" w:rsidP="00246F25">
      <w:pPr>
        <w:rPr>
          <w:rFonts w:ascii="Verdana" w:hAnsi="Verdana"/>
          <w:sz w:val="44"/>
          <w:szCs w:val="44"/>
        </w:rPr>
      </w:pPr>
      <w:r w:rsidRPr="00973B11">
        <w:rPr>
          <w:rFonts w:ascii="Verdana" w:hAnsi="Verdana"/>
          <w:sz w:val="44"/>
          <w:szCs w:val="44"/>
        </w:rPr>
        <w:t>A look forward</w:t>
      </w:r>
    </w:p>
    <w:p w14:paraId="23E3AC71" w14:textId="1A12FAB2" w:rsidR="009771B1" w:rsidRDefault="00001DD2" w:rsidP="00246F25">
      <w:pPr>
        <w:rPr>
          <w:rFonts w:ascii="Verdana" w:hAnsi="Verdana"/>
        </w:rPr>
      </w:pPr>
      <w:r>
        <w:rPr>
          <w:rFonts w:ascii="Verdana" w:hAnsi="Verdana"/>
        </w:rPr>
        <w:t xml:space="preserve">The pandemic has provided the opportunity for the Service to review </w:t>
      </w:r>
      <w:r w:rsidR="003217CC">
        <w:rPr>
          <w:rFonts w:ascii="Verdana" w:hAnsi="Verdana"/>
        </w:rPr>
        <w:t>its working practices. With Support staff working from home</w:t>
      </w:r>
      <w:r w:rsidR="006067BE">
        <w:rPr>
          <w:rFonts w:ascii="Verdana" w:hAnsi="Verdana"/>
        </w:rPr>
        <w:t>, productivity increased as employees d</w:t>
      </w:r>
      <w:r w:rsidR="009E2E89">
        <w:rPr>
          <w:rFonts w:ascii="Verdana" w:hAnsi="Verdana"/>
        </w:rPr>
        <w:t>id</w:t>
      </w:r>
      <w:r w:rsidR="006067BE">
        <w:rPr>
          <w:rFonts w:ascii="Verdana" w:hAnsi="Verdana"/>
        </w:rPr>
        <w:t xml:space="preserve"> not have to commute into the workplace</w:t>
      </w:r>
      <w:r w:rsidR="009E2E89">
        <w:rPr>
          <w:rFonts w:ascii="Verdana" w:hAnsi="Verdana"/>
        </w:rPr>
        <w:t xml:space="preserve"> during lockdown</w:t>
      </w:r>
      <w:r w:rsidR="0031255D">
        <w:rPr>
          <w:rFonts w:ascii="Verdana" w:hAnsi="Verdana"/>
        </w:rPr>
        <w:t xml:space="preserve"> and the systems technology </w:t>
      </w:r>
      <w:r w:rsidR="00386E56">
        <w:rPr>
          <w:rFonts w:ascii="Verdana" w:hAnsi="Verdana"/>
        </w:rPr>
        <w:t>available</w:t>
      </w:r>
      <w:r w:rsidR="0031255D">
        <w:rPr>
          <w:rFonts w:ascii="Verdana" w:hAnsi="Verdana"/>
        </w:rPr>
        <w:t xml:space="preserve"> enabled work to </w:t>
      </w:r>
      <w:r w:rsidR="009771B1">
        <w:rPr>
          <w:rFonts w:ascii="Verdana" w:hAnsi="Verdana"/>
        </w:rPr>
        <w:t>carried out efficiently</w:t>
      </w:r>
      <w:r w:rsidR="009E2E89">
        <w:rPr>
          <w:rFonts w:ascii="Verdana" w:hAnsi="Verdana"/>
        </w:rPr>
        <w:t xml:space="preserve">. </w:t>
      </w:r>
    </w:p>
    <w:p w14:paraId="010370BA" w14:textId="1A565395" w:rsidR="00973B11" w:rsidRDefault="009E2E89" w:rsidP="00246F25">
      <w:pPr>
        <w:rPr>
          <w:rFonts w:ascii="Verdana" w:hAnsi="Verdana"/>
        </w:rPr>
      </w:pPr>
      <w:r>
        <w:rPr>
          <w:rFonts w:ascii="Verdana" w:hAnsi="Verdana"/>
        </w:rPr>
        <w:t>W</w:t>
      </w:r>
      <w:r w:rsidR="009771B1">
        <w:rPr>
          <w:rFonts w:ascii="Verdana" w:hAnsi="Verdana"/>
        </w:rPr>
        <w:t xml:space="preserve">orking from home </w:t>
      </w:r>
      <w:r w:rsidR="006067BE">
        <w:rPr>
          <w:rFonts w:ascii="Verdana" w:hAnsi="Verdana"/>
        </w:rPr>
        <w:t xml:space="preserve">is not </w:t>
      </w:r>
      <w:r>
        <w:rPr>
          <w:rFonts w:ascii="Verdana" w:hAnsi="Verdana"/>
        </w:rPr>
        <w:t xml:space="preserve">suited to </w:t>
      </w:r>
      <w:r w:rsidR="006067BE">
        <w:rPr>
          <w:rFonts w:ascii="Verdana" w:hAnsi="Verdana"/>
        </w:rPr>
        <w:t>everyone</w:t>
      </w:r>
      <w:r w:rsidR="00386E56">
        <w:rPr>
          <w:rFonts w:ascii="Verdana" w:hAnsi="Verdana"/>
        </w:rPr>
        <w:t xml:space="preserve">, the lifting of Government restrictions has meant that employees can return to the workplace </w:t>
      </w:r>
      <w:r w:rsidR="00465DE9">
        <w:rPr>
          <w:rFonts w:ascii="Verdana" w:hAnsi="Verdana"/>
        </w:rPr>
        <w:t>in a safe and managed way.</w:t>
      </w:r>
    </w:p>
    <w:p w14:paraId="146BC991" w14:textId="65E63EFA" w:rsidR="00B21C03" w:rsidRDefault="00885A6F" w:rsidP="00B21C03">
      <w:pPr>
        <w:pStyle w:val="Heading5"/>
        <w:shd w:val="clear" w:color="auto" w:fill="FFFFFF"/>
        <w:spacing w:before="150" w:after="150" w:line="300" w:lineRule="atLeast"/>
        <w:rPr>
          <w:rFonts w:ascii="Verdana" w:hAnsi="Verdana"/>
          <w:color w:val="auto"/>
        </w:rPr>
      </w:pPr>
      <w:r w:rsidRPr="00B21C03">
        <w:rPr>
          <w:rFonts w:ascii="Verdana" w:hAnsi="Verdana"/>
          <w:color w:val="auto"/>
        </w:rPr>
        <w:lastRenderedPageBreak/>
        <w:t>Mo</w:t>
      </w:r>
      <w:r w:rsidR="00B512F2" w:rsidRPr="00B21C03">
        <w:rPr>
          <w:rFonts w:ascii="Verdana" w:hAnsi="Verdana"/>
          <w:color w:val="auto"/>
        </w:rPr>
        <w:t xml:space="preserve">ving </w:t>
      </w:r>
      <w:r w:rsidR="00EF78C7" w:rsidRPr="00B21C03">
        <w:rPr>
          <w:rFonts w:ascii="Verdana" w:hAnsi="Verdana"/>
          <w:color w:val="auto"/>
        </w:rPr>
        <w:t>forwards</w:t>
      </w:r>
      <w:r w:rsidR="002F7313">
        <w:rPr>
          <w:rFonts w:ascii="Verdana" w:hAnsi="Verdana"/>
          <w:color w:val="auto"/>
        </w:rPr>
        <w:t>,</w:t>
      </w:r>
      <w:r w:rsidR="00EF78C7" w:rsidRPr="00B21C03">
        <w:rPr>
          <w:rFonts w:ascii="Verdana" w:hAnsi="Verdana"/>
          <w:color w:val="auto"/>
        </w:rPr>
        <w:t xml:space="preserve"> the Service is taking the opportunity to explore the ways in which people work a</w:t>
      </w:r>
      <w:r w:rsidR="007F19B3" w:rsidRPr="00B21C03">
        <w:rPr>
          <w:rFonts w:ascii="Verdana" w:hAnsi="Verdana"/>
          <w:color w:val="auto"/>
        </w:rPr>
        <w:t>nd how they prefer to work. “</w:t>
      </w:r>
      <w:r w:rsidR="007F19B3" w:rsidRPr="00B21C03">
        <w:rPr>
          <w:rFonts w:ascii="Verdana" w:hAnsi="Verdana"/>
          <w:i/>
          <w:iCs/>
          <w:color w:val="auto"/>
        </w:rPr>
        <w:t>Work Evolution- work is what WE make it</w:t>
      </w:r>
      <w:r w:rsidR="007F19B3" w:rsidRPr="00B21C03">
        <w:rPr>
          <w:rFonts w:ascii="Verdana" w:hAnsi="Verdana"/>
          <w:color w:val="auto"/>
        </w:rPr>
        <w:t>” is the strapline</w:t>
      </w:r>
      <w:r w:rsidR="00D07DDE" w:rsidRPr="00B21C03">
        <w:rPr>
          <w:rFonts w:ascii="Verdana" w:hAnsi="Verdana"/>
          <w:color w:val="auto"/>
        </w:rPr>
        <w:t xml:space="preserve"> (see image </w:t>
      </w:r>
      <w:r w:rsidR="00703A7E" w:rsidRPr="00B21C03">
        <w:rPr>
          <w:rFonts w:ascii="Verdana" w:hAnsi="Verdana"/>
          <w:color w:val="auto"/>
        </w:rPr>
        <w:t>below) for</w:t>
      </w:r>
      <w:r w:rsidR="007F19B3" w:rsidRPr="00B21C03">
        <w:rPr>
          <w:rFonts w:ascii="Verdana" w:hAnsi="Verdana"/>
          <w:color w:val="auto"/>
        </w:rPr>
        <w:t xml:space="preserve"> this project which </w:t>
      </w:r>
      <w:r w:rsidR="00D07DDE" w:rsidRPr="00B21C03">
        <w:rPr>
          <w:rFonts w:ascii="Verdana" w:hAnsi="Verdana"/>
          <w:color w:val="auto"/>
        </w:rPr>
        <w:t xml:space="preserve">is in its infancy. </w:t>
      </w:r>
    </w:p>
    <w:p w14:paraId="00B46B3A" w14:textId="77777777" w:rsidR="008C2C41" w:rsidRPr="008C2C41" w:rsidRDefault="008C2C41" w:rsidP="008C2C41">
      <w:pPr>
        <w:rPr>
          <w:lang w:eastAsia="en-GB"/>
        </w:rPr>
      </w:pPr>
    </w:p>
    <w:p w14:paraId="6C7516CE" w14:textId="49BC0A85" w:rsidR="008C2C41" w:rsidRDefault="008C2C41" w:rsidP="00B21C03">
      <w:pPr>
        <w:pStyle w:val="Heading5"/>
        <w:shd w:val="clear" w:color="auto" w:fill="FFFFFF"/>
        <w:spacing w:before="150" w:after="150" w:line="300" w:lineRule="atLeast"/>
        <w:rPr>
          <w:rFonts w:ascii="Verdana" w:hAnsi="Verdana"/>
          <w:color w:val="auto"/>
        </w:rPr>
      </w:pPr>
      <w:r>
        <w:rPr>
          <w:rFonts w:ascii="Verdana" w:hAnsi="Verdana"/>
          <w:noProof/>
          <w:color w:val="auto"/>
        </w:rPr>
        <w:drawing>
          <wp:inline distT="0" distB="0" distL="0" distR="0" wp14:anchorId="56C45B3A" wp14:editId="000E9022">
            <wp:extent cx="2438400" cy="1030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030605"/>
                    </a:xfrm>
                    <a:prstGeom prst="rect">
                      <a:avLst/>
                    </a:prstGeom>
                    <a:noFill/>
                  </pic:spPr>
                </pic:pic>
              </a:graphicData>
            </a:graphic>
          </wp:inline>
        </w:drawing>
      </w:r>
    </w:p>
    <w:p w14:paraId="7D64BB7C" w14:textId="77777777" w:rsidR="008C2C41" w:rsidRDefault="008C2C41" w:rsidP="00B21C03">
      <w:pPr>
        <w:pStyle w:val="Heading5"/>
        <w:shd w:val="clear" w:color="auto" w:fill="FFFFFF"/>
        <w:spacing w:before="150" w:after="150" w:line="300" w:lineRule="atLeast"/>
        <w:rPr>
          <w:rFonts w:ascii="Verdana" w:hAnsi="Verdana"/>
          <w:color w:val="auto"/>
        </w:rPr>
      </w:pPr>
    </w:p>
    <w:p w14:paraId="2CB7C6D2" w14:textId="62F8C9DB" w:rsidR="00B21C03" w:rsidRPr="00B21C03" w:rsidRDefault="00D07DDE" w:rsidP="00B21C03">
      <w:pPr>
        <w:pStyle w:val="Heading5"/>
        <w:shd w:val="clear" w:color="auto" w:fill="FFFFFF"/>
        <w:spacing w:before="150" w:after="150" w:line="300" w:lineRule="atLeast"/>
        <w:rPr>
          <w:rFonts w:ascii="Helvetica" w:eastAsia="Times New Roman" w:hAnsi="Helvetica" w:cs="Times New Roman"/>
          <w:b/>
          <w:bCs/>
          <w:color w:val="auto"/>
          <w:sz w:val="18"/>
          <w:szCs w:val="18"/>
          <w:lang w:eastAsia="en-GB"/>
        </w:rPr>
      </w:pPr>
      <w:r w:rsidRPr="00B21C03">
        <w:rPr>
          <w:rFonts w:ascii="Verdana" w:hAnsi="Verdana"/>
          <w:color w:val="auto"/>
        </w:rPr>
        <w:t xml:space="preserve">The </w:t>
      </w:r>
      <w:r w:rsidR="004D2147">
        <w:rPr>
          <w:rFonts w:ascii="Verdana" w:hAnsi="Verdana"/>
          <w:color w:val="auto"/>
        </w:rPr>
        <w:t xml:space="preserve">COVID-19 pandemic has prompted us all to adopt different and innovative ways of working over the last 18 </w:t>
      </w:r>
      <w:r w:rsidR="00477D06">
        <w:rPr>
          <w:rFonts w:ascii="Verdana" w:hAnsi="Verdana"/>
          <w:color w:val="auto"/>
        </w:rPr>
        <w:t>months,</w:t>
      </w:r>
      <w:r w:rsidR="004D2147">
        <w:rPr>
          <w:rFonts w:ascii="Verdana" w:hAnsi="Verdana"/>
          <w:color w:val="auto"/>
        </w:rPr>
        <w:t xml:space="preserve"> </w:t>
      </w:r>
      <w:r w:rsidR="00622EB6">
        <w:rPr>
          <w:rFonts w:ascii="Verdana" w:hAnsi="Verdana"/>
          <w:color w:val="auto"/>
        </w:rPr>
        <w:t xml:space="preserve">so a staff survey has been developed to </w:t>
      </w:r>
      <w:r w:rsidR="00477D06">
        <w:rPr>
          <w:rFonts w:ascii="Verdana" w:hAnsi="Verdana"/>
          <w:color w:val="auto"/>
        </w:rPr>
        <w:t>evaluate and learn from staff experiences.</w:t>
      </w:r>
    </w:p>
    <w:p w14:paraId="26F7CDA9" w14:textId="77777777" w:rsidR="002B0561" w:rsidRPr="006E3462" w:rsidRDefault="002B0561" w:rsidP="002B0561">
      <w:pPr>
        <w:shd w:val="clear" w:color="auto" w:fill="FFFFFF"/>
        <w:spacing w:after="150" w:line="240" w:lineRule="auto"/>
        <w:rPr>
          <w:rFonts w:ascii="Verdana" w:eastAsia="Times New Roman" w:hAnsi="Verdana" w:cs="Times New Roman"/>
          <w:color w:val="333333"/>
          <w:lang w:eastAsia="en-GB"/>
        </w:rPr>
      </w:pPr>
      <w:r>
        <w:rPr>
          <w:rFonts w:ascii="Verdana" w:eastAsia="Times New Roman" w:hAnsi="Verdana" w:cs="Times New Roman"/>
          <w:color w:val="333333"/>
          <w:lang w:eastAsia="en-GB"/>
        </w:rPr>
        <w:t>The survey is initially</w:t>
      </w:r>
      <w:r w:rsidRPr="006E3462">
        <w:rPr>
          <w:rFonts w:ascii="Verdana" w:eastAsia="Times New Roman" w:hAnsi="Verdana" w:cs="Times New Roman"/>
          <w:color w:val="333333"/>
          <w:lang w:eastAsia="en-GB"/>
        </w:rPr>
        <w:t xml:space="preserve"> aimed at office-based staff</w:t>
      </w:r>
      <w:r>
        <w:rPr>
          <w:rFonts w:ascii="Verdana" w:eastAsia="Times New Roman" w:hAnsi="Verdana" w:cs="Times New Roman"/>
          <w:color w:val="333333"/>
          <w:lang w:eastAsia="en-GB"/>
        </w:rPr>
        <w:t xml:space="preserve"> with a separate survey being developed for</w:t>
      </w:r>
      <w:r w:rsidRPr="006E3462">
        <w:rPr>
          <w:rFonts w:ascii="Verdana" w:eastAsia="Times New Roman" w:hAnsi="Verdana" w:cs="Times New Roman"/>
          <w:color w:val="333333"/>
          <w:lang w:eastAsia="en-GB"/>
        </w:rPr>
        <w:t xml:space="preserve"> operational, station-based crews</w:t>
      </w:r>
      <w:r>
        <w:rPr>
          <w:rFonts w:ascii="Verdana" w:eastAsia="Times New Roman" w:hAnsi="Verdana" w:cs="Times New Roman"/>
          <w:color w:val="333333"/>
          <w:lang w:eastAsia="en-GB"/>
        </w:rPr>
        <w:t>.</w:t>
      </w:r>
    </w:p>
    <w:p w14:paraId="228FB60A" w14:textId="44D96998" w:rsidR="006E3462" w:rsidRPr="006E3462" w:rsidRDefault="006E3462" w:rsidP="006E3462">
      <w:pPr>
        <w:shd w:val="clear" w:color="auto" w:fill="FFFFFF"/>
        <w:spacing w:after="150" w:line="240" w:lineRule="auto"/>
        <w:rPr>
          <w:rFonts w:ascii="Verdana" w:eastAsia="Times New Roman" w:hAnsi="Verdana" w:cs="Times New Roman"/>
          <w:color w:val="333333"/>
          <w:lang w:eastAsia="en-GB"/>
        </w:rPr>
      </w:pPr>
      <w:r w:rsidRPr="006E3462">
        <w:rPr>
          <w:rFonts w:ascii="Verdana" w:eastAsia="Times New Roman" w:hAnsi="Verdana" w:cs="Times New Roman"/>
          <w:color w:val="333333"/>
          <w:lang w:eastAsia="en-GB"/>
        </w:rPr>
        <w:t>Feedback obtained through the anonymous questionnaire will help shape the future of our working environment as we come to live with COVID-19.</w:t>
      </w:r>
    </w:p>
    <w:p w14:paraId="5F86E115" w14:textId="0FE9FB14" w:rsidR="0051467F" w:rsidRDefault="002B0561" w:rsidP="002B0561">
      <w:pPr>
        <w:shd w:val="clear" w:color="auto" w:fill="FFFFFF"/>
        <w:spacing w:after="150" w:line="240" w:lineRule="auto"/>
        <w:rPr>
          <w:rFonts w:ascii="Verdana" w:eastAsia="Times New Roman" w:hAnsi="Verdana" w:cs="Times New Roman"/>
          <w:color w:val="333333"/>
          <w:shd w:val="clear" w:color="auto" w:fill="FFFFFF"/>
          <w:lang w:eastAsia="en-GB"/>
        </w:rPr>
      </w:pPr>
      <w:r>
        <w:rPr>
          <w:rFonts w:ascii="Verdana" w:eastAsia="Times New Roman" w:hAnsi="Verdana" w:cs="Times New Roman"/>
          <w:color w:val="333333"/>
          <w:shd w:val="clear" w:color="auto" w:fill="FFFFFF"/>
          <w:lang w:eastAsia="en-GB"/>
        </w:rPr>
        <w:t>Staff sharing their</w:t>
      </w:r>
      <w:r w:rsidR="006E3462" w:rsidRPr="006E3462">
        <w:rPr>
          <w:rFonts w:ascii="Verdana" w:eastAsia="Times New Roman" w:hAnsi="Verdana" w:cs="Times New Roman"/>
          <w:color w:val="333333"/>
          <w:shd w:val="clear" w:color="auto" w:fill="FFFFFF"/>
          <w:lang w:eastAsia="en-GB"/>
        </w:rPr>
        <w:t xml:space="preserve"> experience will </w:t>
      </w:r>
      <w:r>
        <w:rPr>
          <w:rFonts w:ascii="Verdana" w:eastAsia="Times New Roman" w:hAnsi="Verdana" w:cs="Times New Roman"/>
          <w:color w:val="333333"/>
          <w:shd w:val="clear" w:color="auto" w:fill="FFFFFF"/>
          <w:lang w:eastAsia="en-GB"/>
        </w:rPr>
        <w:t xml:space="preserve">help </w:t>
      </w:r>
      <w:r w:rsidR="006E3462" w:rsidRPr="006E3462">
        <w:rPr>
          <w:rFonts w:ascii="Verdana" w:eastAsia="Times New Roman" w:hAnsi="Verdana" w:cs="Times New Roman"/>
          <w:color w:val="333333"/>
          <w:shd w:val="clear" w:color="auto" w:fill="FFFFFF"/>
          <w:lang w:eastAsia="en-GB"/>
        </w:rPr>
        <w:t>identify how we can make the workplace function in a better way, contributing to our Work Evolution.</w:t>
      </w:r>
    </w:p>
    <w:p w14:paraId="1E51F9DF" w14:textId="3D6A77CE" w:rsidR="00A54DB9" w:rsidRPr="002B0561" w:rsidRDefault="00A54DB9" w:rsidP="002B0561">
      <w:pPr>
        <w:shd w:val="clear" w:color="auto" w:fill="FFFFFF"/>
        <w:spacing w:after="150" w:line="240" w:lineRule="auto"/>
        <w:rPr>
          <w:rFonts w:ascii="Verdana" w:eastAsia="Times New Roman" w:hAnsi="Verdana" w:cs="Times New Roman"/>
          <w:color w:val="333333"/>
          <w:lang w:eastAsia="en-GB"/>
        </w:rPr>
      </w:pPr>
    </w:p>
    <w:p w14:paraId="04A3EFE9" w14:textId="0B11A6B1" w:rsidR="00733995" w:rsidRPr="00635FFF" w:rsidRDefault="006B468D" w:rsidP="00411EDC">
      <w:pPr>
        <w:rPr>
          <w:rFonts w:ascii="Verdana" w:hAnsi="Verdana"/>
        </w:rPr>
      </w:pPr>
      <w:r w:rsidRPr="00964136">
        <w:rPr>
          <w:rFonts w:ascii="Verdana" w:hAnsi="Verdana"/>
          <w:sz w:val="44"/>
          <w:szCs w:val="44"/>
        </w:rPr>
        <w:t xml:space="preserve">Performance </w:t>
      </w:r>
      <w:r w:rsidR="0093765C" w:rsidRPr="00964136">
        <w:rPr>
          <w:rFonts w:ascii="Verdana" w:hAnsi="Verdana"/>
          <w:sz w:val="44"/>
          <w:szCs w:val="44"/>
        </w:rPr>
        <w:t>i</w:t>
      </w:r>
      <w:r w:rsidRPr="00964136">
        <w:rPr>
          <w:rFonts w:ascii="Verdana" w:hAnsi="Verdana"/>
          <w:sz w:val="44"/>
          <w:szCs w:val="44"/>
        </w:rPr>
        <w:t>ndicators</w:t>
      </w:r>
    </w:p>
    <w:p w14:paraId="20376150" w14:textId="77777777" w:rsidR="00733995" w:rsidRPr="00935AE8" w:rsidRDefault="00733995" w:rsidP="00935AE8">
      <w:pPr>
        <w:rPr>
          <w:rFonts w:ascii="Verdana" w:hAnsi="Verdana"/>
          <w:b/>
        </w:rPr>
      </w:pPr>
      <w:r w:rsidRPr="00935AE8">
        <w:rPr>
          <w:rFonts w:ascii="Verdana" w:hAnsi="Verdana"/>
          <w:b/>
        </w:rPr>
        <w:t>Budget</w:t>
      </w:r>
      <w:r w:rsidR="006B468D" w:rsidRPr="00935AE8">
        <w:rPr>
          <w:rFonts w:ascii="Verdana" w:hAnsi="Verdana"/>
          <w:b/>
        </w:rPr>
        <w:t>s</w:t>
      </w:r>
    </w:p>
    <w:p w14:paraId="079CFF3A" w14:textId="0869128A" w:rsidR="004A7FC3" w:rsidRPr="006826EB" w:rsidRDefault="00155B9F" w:rsidP="00935AE8">
      <w:pPr>
        <w:rPr>
          <w:rFonts w:ascii="Verdana" w:hAnsi="Verdana"/>
        </w:rPr>
      </w:pPr>
      <w:r>
        <w:rPr>
          <w:rFonts w:ascii="Verdana" w:hAnsi="Verdana"/>
        </w:rPr>
        <w:t xml:space="preserve">The </w:t>
      </w:r>
      <w:r w:rsidR="006F1E8E">
        <w:rPr>
          <w:rFonts w:ascii="Verdana" w:hAnsi="Verdana"/>
        </w:rPr>
        <w:t>h</w:t>
      </w:r>
      <w:r w:rsidR="00627ED9">
        <w:rPr>
          <w:rFonts w:ascii="Verdana" w:hAnsi="Verdana"/>
        </w:rPr>
        <w:t xml:space="preserve">ealth and </w:t>
      </w:r>
      <w:r w:rsidR="006F1E8E">
        <w:rPr>
          <w:rFonts w:ascii="Verdana" w:hAnsi="Verdana"/>
        </w:rPr>
        <w:t>s</w:t>
      </w:r>
      <w:r w:rsidR="00627ED9">
        <w:rPr>
          <w:rFonts w:ascii="Verdana" w:hAnsi="Verdana"/>
        </w:rPr>
        <w:t>afety</w:t>
      </w:r>
      <w:r>
        <w:rPr>
          <w:rFonts w:ascii="Verdana" w:hAnsi="Verdana"/>
        </w:rPr>
        <w:t xml:space="preserve"> budget for the year 20</w:t>
      </w:r>
      <w:r w:rsidR="004E3736">
        <w:rPr>
          <w:rFonts w:ascii="Verdana" w:hAnsi="Verdana"/>
        </w:rPr>
        <w:t>20</w:t>
      </w:r>
      <w:r w:rsidR="002F7A0E">
        <w:rPr>
          <w:rFonts w:ascii="Verdana" w:hAnsi="Verdana"/>
        </w:rPr>
        <w:t>/2</w:t>
      </w:r>
      <w:r w:rsidR="004E3736">
        <w:rPr>
          <w:rFonts w:ascii="Verdana" w:hAnsi="Verdana"/>
        </w:rPr>
        <w:t>1</w:t>
      </w:r>
      <w:r>
        <w:rPr>
          <w:rFonts w:ascii="Verdana" w:hAnsi="Verdana"/>
        </w:rPr>
        <w:t xml:space="preserve"> </w:t>
      </w:r>
      <w:r w:rsidR="00224D88">
        <w:rPr>
          <w:rFonts w:ascii="Verdana" w:hAnsi="Verdana"/>
        </w:rPr>
        <w:t>resulted</w:t>
      </w:r>
      <w:r>
        <w:rPr>
          <w:rFonts w:ascii="Verdana" w:hAnsi="Verdana"/>
        </w:rPr>
        <w:t xml:space="preserve"> in an </w:t>
      </w:r>
      <w:r w:rsidR="002F7A0E">
        <w:rPr>
          <w:rFonts w:ascii="Verdana" w:hAnsi="Verdana"/>
        </w:rPr>
        <w:t xml:space="preserve">underspend of </w:t>
      </w:r>
      <w:r w:rsidR="00224D88">
        <w:rPr>
          <w:rFonts w:ascii="Verdana" w:hAnsi="Verdana"/>
        </w:rPr>
        <w:t>£</w:t>
      </w:r>
      <w:r w:rsidR="004E3736">
        <w:rPr>
          <w:rFonts w:ascii="Verdana" w:hAnsi="Verdana"/>
        </w:rPr>
        <w:t>6</w:t>
      </w:r>
      <w:r w:rsidR="00224D88">
        <w:rPr>
          <w:rFonts w:ascii="Verdana" w:hAnsi="Verdana"/>
        </w:rPr>
        <w:t>K</w:t>
      </w:r>
      <w:r w:rsidR="008A56B1">
        <w:rPr>
          <w:rFonts w:ascii="Verdana" w:hAnsi="Verdana"/>
        </w:rPr>
        <w:t>, this was as a direct result of the pandemic as many courses and conferences normally attended did not take place.</w:t>
      </w:r>
      <w:r w:rsidR="00224D88">
        <w:rPr>
          <w:rFonts w:ascii="Verdana" w:hAnsi="Verdana"/>
        </w:rPr>
        <w:t xml:space="preserve"> </w:t>
      </w:r>
      <w:r w:rsidR="006F27B4">
        <w:rPr>
          <w:rFonts w:ascii="Verdana" w:hAnsi="Verdana"/>
        </w:rPr>
        <w:t xml:space="preserve">It is unlikely there will be an underspend in the financial year 2021/22 as funds have been used to procure a </w:t>
      </w:r>
      <w:r w:rsidR="00255219">
        <w:rPr>
          <w:rFonts w:ascii="Verdana" w:hAnsi="Verdana"/>
        </w:rPr>
        <w:t>replacement</w:t>
      </w:r>
      <w:r w:rsidR="006F27B4">
        <w:rPr>
          <w:rFonts w:ascii="Verdana" w:hAnsi="Verdana"/>
        </w:rPr>
        <w:t xml:space="preserve"> electronic safety event reporting and investigation system.</w:t>
      </w:r>
      <w:r>
        <w:rPr>
          <w:rFonts w:ascii="Verdana" w:hAnsi="Verdana"/>
        </w:rPr>
        <w:t xml:space="preserve"> </w:t>
      </w:r>
    </w:p>
    <w:p w14:paraId="2CF7FA49" w14:textId="619CC346" w:rsidR="00155B9F" w:rsidRPr="00155B9F" w:rsidRDefault="00627ED9" w:rsidP="00935AE8">
      <w:pPr>
        <w:rPr>
          <w:rFonts w:ascii="Verdana" w:hAnsi="Verdana"/>
          <w:b/>
        </w:rPr>
      </w:pPr>
      <w:r>
        <w:rPr>
          <w:rFonts w:ascii="Verdana" w:hAnsi="Verdana"/>
          <w:b/>
        </w:rPr>
        <w:t>Health and Safety</w:t>
      </w:r>
      <w:r w:rsidR="00155B9F" w:rsidRPr="00230E9A">
        <w:rPr>
          <w:rFonts w:ascii="Verdana" w:hAnsi="Verdana"/>
          <w:b/>
        </w:rPr>
        <w:t xml:space="preserve"> </w:t>
      </w:r>
      <w:r w:rsidR="002F7A0E" w:rsidRPr="00230E9A">
        <w:rPr>
          <w:rFonts w:ascii="Verdana" w:hAnsi="Verdana"/>
          <w:b/>
        </w:rPr>
        <w:t xml:space="preserve">key performance indicators </w:t>
      </w:r>
      <w:r w:rsidR="007D5ABD">
        <w:rPr>
          <w:rFonts w:ascii="Verdana" w:hAnsi="Verdana"/>
          <w:b/>
        </w:rPr>
        <w:t>– 2020/21</w:t>
      </w:r>
    </w:p>
    <w:p w14:paraId="5F591BE4" w14:textId="38EF7BE7" w:rsidR="00EA5F2D" w:rsidRDefault="00255219" w:rsidP="00935AE8">
      <w:pPr>
        <w:spacing w:after="0"/>
        <w:rPr>
          <w:rFonts w:ascii="Verdana" w:eastAsia="Verdana" w:hAnsi="Verdana" w:cs="Verdana"/>
          <w:lang w:eastAsia="en-GB"/>
        </w:rPr>
      </w:pPr>
      <w:r>
        <w:rPr>
          <w:rFonts w:ascii="Verdana" w:eastAsia="Verdana" w:hAnsi="Verdana" w:cs="Verdana"/>
          <w:lang w:eastAsia="en-GB"/>
        </w:rPr>
        <w:t>Two</w:t>
      </w:r>
      <w:r w:rsidR="00822B93">
        <w:rPr>
          <w:rFonts w:ascii="Verdana" w:eastAsia="Verdana" w:hAnsi="Verdana" w:cs="Verdana"/>
          <w:lang w:eastAsia="en-GB"/>
        </w:rPr>
        <w:t xml:space="preserve"> of the four objectives </w:t>
      </w:r>
      <w:r w:rsidR="003C46C2">
        <w:rPr>
          <w:rFonts w:ascii="Verdana" w:eastAsia="Verdana" w:hAnsi="Verdana" w:cs="Verdana"/>
          <w:lang w:eastAsia="en-GB"/>
        </w:rPr>
        <w:t>set for the year</w:t>
      </w:r>
      <w:r w:rsidR="00AD6067">
        <w:rPr>
          <w:rFonts w:ascii="Verdana" w:eastAsia="Verdana" w:hAnsi="Verdana" w:cs="Verdana"/>
          <w:lang w:eastAsia="en-GB"/>
        </w:rPr>
        <w:t xml:space="preserve"> </w:t>
      </w:r>
      <w:r w:rsidR="00822B93">
        <w:rPr>
          <w:rFonts w:ascii="Verdana" w:eastAsia="Verdana" w:hAnsi="Verdana" w:cs="Verdana"/>
          <w:lang w:eastAsia="en-GB"/>
        </w:rPr>
        <w:t>were achieved</w:t>
      </w:r>
      <w:r>
        <w:rPr>
          <w:rFonts w:ascii="Verdana" w:eastAsia="Verdana" w:hAnsi="Verdana" w:cs="Verdana"/>
          <w:lang w:eastAsia="en-GB"/>
        </w:rPr>
        <w:t xml:space="preserve"> with one</w:t>
      </w:r>
      <w:r w:rsidR="00CC328A">
        <w:rPr>
          <w:rFonts w:ascii="Verdana" w:eastAsia="Verdana" w:hAnsi="Verdana" w:cs="Verdana"/>
          <w:lang w:eastAsia="en-GB"/>
        </w:rPr>
        <w:t xml:space="preserve"> (number three)</w:t>
      </w:r>
      <w:r>
        <w:rPr>
          <w:rFonts w:ascii="Verdana" w:eastAsia="Verdana" w:hAnsi="Verdana" w:cs="Verdana"/>
          <w:lang w:eastAsia="en-GB"/>
        </w:rPr>
        <w:t xml:space="preserve"> still in progress</w:t>
      </w:r>
      <w:r w:rsidR="00822B93">
        <w:rPr>
          <w:rFonts w:ascii="Verdana" w:eastAsia="Verdana" w:hAnsi="Verdana" w:cs="Verdana"/>
          <w:lang w:eastAsia="en-GB"/>
        </w:rPr>
        <w:t>. These being</w:t>
      </w:r>
      <w:r w:rsidR="00EA5F2D">
        <w:rPr>
          <w:rFonts w:ascii="Verdana" w:eastAsia="Verdana" w:hAnsi="Verdana" w:cs="Verdana"/>
          <w:lang w:eastAsia="en-GB"/>
        </w:rPr>
        <w:t>:</w:t>
      </w:r>
    </w:p>
    <w:p w14:paraId="699AC0C7" w14:textId="77777777" w:rsidR="00EA5F2D" w:rsidRDefault="00EA5F2D" w:rsidP="00935AE8">
      <w:pPr>
        <w:spacing w:after="0"/>
        <w:rPr>
          <w:rFonts w:ascii="Verdana" w:eastAsia="Verdana" w:hAnsi="Verdana" w:cs="Verdana"/>
          <w:lang w:eastAsia="en-GB"/>
        </w:rPr>
      </w:pPr>
    </w:p>
    <w:p w14:paraId="42F97F53" w14:textId="56A717BB" w:rsidR="006E1768" w:rsidRPr="00BC7DE2" w:rsidRDefault="00BC7DE2" w:rsidP="00BC7DE2">
      <w:pPr>
        <w:pStyle w:val="ListParagraph"/>
        <w:numPr>
          <w:ilvl w:val="0"/>
          <w:numId w:val="5"/>
        </w:numPr>
        <w:spacing w:after="0"/>
        <w:rPr>
          <w:rFonts w:ascii="Verdana" w:eastAsia="Verdana" w:hAnsi="Verdana" w:cs="Verdana"/>
          <w:lang w:eastAsia="en-GB"/>
        </w:rPr>
      </w:pPr>
      <w:r>
        <w:rPr>
          <w:rFonts w:ascii="Verdana" w:eastAsia="Verdana" w:hAnsi="Verdana" w:cs="Verdana"/>
          <w:lang w:eastAsia="en-GB"/>
        </w:rPr>
        <w:t>Ensure working hours in Fire Service Rota* are monitored and breaches of the Working Time Regulations are highlighted and actioned</w:t>
      </w:r>
    </w:p>
    <w:p w14:paraId="78966951" w14:textId="77777777" w:rsidR="00BA6AC9" w:rsidRPr="00BA6AC9" w:rsidRDefault="00BA6AC9" w:rsidP="00BA6AC9">
      <w:pPr>
        <w:pStyle w:val="ListParagraph"/>
        <w:rPr>
          <w:rFonts w:ascii="Verdana" w:eastAsia="Verdana" w:hAnsi="Verdana" w:cs="Verdana"/>
          <w:lang w:eastAsia="en-GB"/>
        </w:rPr>
      </w:pPr>
    </w:p>
    <w:p w14:paraId="3D534448" w14:textId="63463766" w:rsidR="00BC7DE2" w:rsidRPr="00BC7DE2" w:rsidRDefault="00BC7DE2" w:rsidP="00BC7DE2">
      <w:pPr>
        <w:pStyle w:val="ListParagraph"/>
        <w:numPr>
          <w:ilvl w:val="0"/>
          <w:numId w:val="5"/>
        </w:numPr>
        <w:spacing w:after="0"/>
        <w:rPr>
          <w:rFonts w:ascii="Verdana" w:eastAsia="Verdana" w:hAnsi="Verdana" w:cs="Verdana"/>
          <w:lang w:eastAsia="en-GB"/>
        </w:rPr>
      </w:pPr>
      <w:r>
        <w:rPr>
          <w:rFonts w:ascii="Verdana" w:hAnsi="Verdana" w:cs="Tahoma"/>
        </w:rPr>
        <w:t>Devise and implement an action plan in preparation for the next HMI inspection</w:t>
      </w:r>
    </w:p>
    <w:p w14:paraId="3E6F61BD" w14:textId="77777777" w:rsidR="00BC7DE2" w:rsidRPr="00BC7DE2" w:rsidRDefault="00BC7DE2" w:rsidP="00BC7DE2">
      <w:pPr>
        <w:pStyle w:val="ListParagraph"/>
        <w:rPr>
          <w:rFonts w:ascii="Verdana" w:eastAsia="Verdana" w:hAnsi="Verdana" w:cs="Verdana"/>
          <w:lang w:eastAsia="en-GB"/>
        </w:rPr>
      </w:pPr>
    </w:p>
    <w:p w14:paraId="313AACE0" w14:textId="665C2971" w:rsidR="00BC7DE2" w:rsidRPr="00D7468F" w:rsidRDefault="00BC7DE2" w:rsidP="00C86672">
      <w:pPr>
        <w:pStyle w:val="ListParagraph"/>
        <w:numPr>
          <w:ilvl w:val="0"/>
          <w:numId w:val="5"/>
        </w:numPr>
        <w:spacing w:after="0"/>
        <w:rPr>
          <w:rFonts w:ascii="Verdana" w:eastAsia="Verdana" w:hAnsi="Verdana" w:cs="Verdana"/>
          <w:lang w:eastAsia="en-GB"/>
        </w:rPr>
      </w:pPr>
      <w:r w:rsidRPr="00D7468F">
        <w:rPr>
          <w:rFonts w:ascii="Verdana" w:eastAsia="Verdana" w:hAnsi="Verdana" w:cs="Verdana"/>
          <w:lang w:eastAsia="en-GB"/>
        </w:rPr>
        <w:t xml:space="preserve">Work with Human Resources and the occupational health provider to set up a programme of medicals and surveillance for </w:t>
      </w:r>
      <w:r w:rsidR="00D7468F" w:rsidRPr="00D7468F">
        <w:rPr>
          <w:rFonts w:ascii="Verdana" w:eastAsia="Verdana" w:hAnsi="Verdana" w:cs="Verdana"/>
          <w:lang w:eastAsia="en-GB"/>
        </w:rPr>
        <w:t xml:space="preserve">employees who work in </w:t>
      </w:r>
      <w:r w:rsidRPr="00D7468F">
        <w:rPr>
          <w:rFonts w:ascii="Verdana" w:eastAsia="Verdana" w:hAnsi="Verdana" w:cs="Verdana"/>
          <w:lang w:eastAsia="en-GB"/>
        </w:rPr>
        <w:t xml:space="preserve">Workshops </w:t>
      </w:r>
    </w:p>
    <w:p w14:paraId="60F2CE42" w14:textId="77777777" w:rsidR="00D7468F" w:rsidRDefault="00D7468F" w:rsidP="00AD6067">
      <w:pPr>
        <w:spacing w:after="0"/>
        <w:rPr>
          <w:rFonts w:ascii="Verdana" w:hAnsi="Verdana" w:cstheme="minorHAnsi"/>
        </w:rPr>
      </w:pPr>
    </w:p>
    <w:p w14:paraId="42A1B52F" w14:textId="5FDDD840" w:rsidR="00AD6067" w:rsidRDefault="00EA5F2D" w:rsidP="00AD6067">
      <w:pPr>
        <w:spacing w:after="0"/>
        <w:rPr>
          <w:rFonts w:ascii="Verdana" w:eastAsia="Verdana" w:hAnsi="Verdana" w:cs="Verdana"/>
          <w:lang w:eastAsia="en-GB"/>
        </w:rPr>
      </w:pPr>
      <w:r w:rsidRPr="00AD6067">
        <w:rPr>
          <w:rFonts w:ascii="Verdana" w:hAnsi="Verdana" w:cstheme="minorHAnsi"/>
        </w:rPr>
        <w:t xml:space="preserve">The remaining objective was not achieved due to the </w:t>
      </w:r>
      <w:r w:rsidR="003C46C2" w:rsidRPr="00AD6067">
        <w:rPr>
          <w:rFonts w:ascii="Verdana" w:hAnsi="Verdana" w:cstheme="minorHAnsi"/>
        </w:rPr>
        <w:t>increased workloads associated with the pandemic</w:t>
      </w:r>
      <w:r w:rsidR="00AD6067" w:rsidRPr="00AD6067">
        <w:rPr>
          <w:rFonts w:ascii="Verdana" w:hAnsi="Verdana" w:cstheme="minorHAnsi"/>
        </w:rPr>
        <w:t xml:space="preserve">. This objective was </w:t>
      </w:r>
      <w:r w:rsidR="00D7468F">
        <w:rPr>
          <w:rFonts w:ascii="Verdana" w:hAnsi="Verdana" w:cstheme="minorHAnsi"/>
        </w:rPr>
        <w:t>to “i</w:t>
      </w:r>
      <w:r w:rsidR="00AD6067" w:rsidRPr="00AD6067">
        <w:rPr>
          <w:rFonts w:ascii="Verdana" w:eastAsia="Verdana" w:hAnsi="Verdana" w:cs="Verdana"/>
          <w:lang w:eastAsia="en-GB"/>
        </w:rPr>
        <w:t>mplement and embed the next stages of the Health and Safety strategy – apply for a RoSPA Occupational Health and Safety Award and conduct a further Behavioural Safety Culture Survey</w:t>
      </w:r>
      <w:r w:rsidR="00D7468F">
        <w:rPr>
          <w:rFonts w:ascii="Verdana" w:eastAsia="Verdana" w:hAnsi="Verdana" w:cs="Verdana"/>
          <w:lang w:eastAsia="en-GB"/>
        </w:rPr>
        <w:t>”.</w:t>
      </w:r>
    </w:p>
    <w:p w14:paraId="5CBDED6F" w14:textId="7D4AA186" w:rsidR="00D7468F" w:rsidRDefault="00D7468F" w:rsidP="00AD6067">
      <w:pPr>
        <w:spacing w:after="0"/>
        <w:rPr>
          <w:rFonts w:ascii="Verdana" w:eastAsia="Verdana" w:hAnsi="Verdana" w:cs="Verdana"/>
          <w:lang w:eastAsia="en-GB"/>
        </w:rPr>
      </w:pPr>
    </w:p>
    <w:p w14:paraId="33238898" w14:textId="202DA25B" w:rsidR="00D7468F" w:rsidRDefault="00D7468F" w:rsidP="00AD6067">
      <w:pPr>
        <w:spacing w:after="0"/>
        <w:rPr>
          <w:rFonts w:ascii="Verdana" w:eastAsia="Verdana" w:hAnsi="Verdana" w:cs="Verdana"/>
          <w:lang w:eastAsia="en-GB"/>
        </w:rPr>
      </w:pPr>
      <w:r>
        <w:rPr>
          <w:rFonts w:ascii="Verdana" w:eastAsia="Verdana" w:hAnsi="Verdana" w:cs="Verdana"/>
          <w:lang w:eastAsia="en-GB"/>
        </w:rPr>
        <w:t xml:space="preserve">This objective will be revisited during the financial year 2021/22 </w:t>
      </w:r>
      <w:proofErr w:type="gramStart"/>
      <w:r>
        <w:rPr>
          <w:rFonts w:ascii="Verdana" w:eastAsia="Verdana" w:hAnsi="Verdana" w:cs="Verdana"/>
          <w:lang w:eastAsia="en-GB"/>
        </w:rPr>
        <w:t>with the exception of</w:t>
      </w:r>
      <w:proofErr w:type="gramEnd"/>
      <w:r>
        <w:rPr>
          <w:rFonts w:ascii="Verdana" w:eastAsia="Verdana" w:hAnsi="Verdana" w:cs="Verdana"/>
          <w:lang w:eastAsia="en-GB"/>
        </w:rPr>
        <w:t xml:space="preserve"> the Behavioural Safety Culture as</w:t>
      </w:r>
      <w:r w:rsidR="007D5ABD">
        <w:rPr>
          <w:rFonts w:ascii="Verdana" w:eastAsia="Verdana" w:hAnsi="Verdana" w:cs="Verdana"/>
          <w:lang w:eastAsia="en-GB"/>
        </w:rPr>
        <w:t>, in the current financial climate, it is cost prohibitive.</w:t>
      </w:r>
    </w:p>
    <w:p w14:paraId="11BA3961" w14:textId="3037FA2F" w:rsidR="007D5ABD" w:rsidRDefault="007D5ABD" w:rsidP="00AD6067">
      <w:pPr>
        <w:spacing w:after="0"/>
        <w:rPr>
          <w:rFonts w:ascii="Verdana" w:eastAsia="Verdana" w:hAnsi="Verdana" w:cs="Verdana"/>
          <w:lang w:eastAsia="en-GB"/>
        </w:rPr>
      </w:pPr>
    </w:p>
    <w:p w14:paraId="3EA0533D" w14:textId="7E162347" w:rsidR="007D5ABD" w:rsidRDefault="007D5ABD" w:rsidP="007D5ABD">
      <w:pPr>
        <w:rPr>
          <w:rFonts w:ascii="Verdana" w:hAnsi="Verdana"/>
          <w:b/>
        </w:rPr>
      </w:pPr>
      <w:r>
        <w:rPr>
          <w:rFonts w:ascii="Verdana" w:hAnsi="Verdana"/>
          <w:b/>
        </w:rPr>
        <w:t>Health and Safety</w:t>
      </w:r>
      <w:r w:rsidRPr="00230E9A">
        <w:rPr>
          <w:rFonts w:ascii="Verdana" w:hAnsi="Verdana"/>
          <w:b/>
        </w:rPr>
        <w:t xml:space="preserve"> key performance indicators </w:t>
      </w:r>
      <w:r>
        <w:rPr>
          <w:rFonts w:ascii="Verdana" w:hAnsi="Verdana"/>
          <w:b/>
        </w:rPr>
        <w:t>– 2021/22</w:t>
      </w:r>
    </w:p>
    <w:p w14:paraId="3254439E" w14:textId="0570EB22" w:rsidR="00327DD6" w:rsidRDefault="00DC7927" w:rsidP="00DC7927">
      <w:pPr>
        <w:rPr>
          <w:rFonts w:ascii="Verdana" w:hAnsi="Verdana"/>
          <w:bCs/>
        </w:rPr>
      </w:pPr>
      <w:r>
        <w:rPr>
          <w:rFonts w:ascii="Verdana" w:hAnsi="Verdana"/>
          <w:bCs/>
        </w:rPr>
        <w:t>The objectives set for the year 2021/22 are in line with the Public Safety Plan in terms of managing risk</w:t>
      </w:r>
      <w:r w:rsidR="009C3DFC">
        <w:rPr>
          <w:rFonts w:ascii="Verdana" w:hAnsi="Verdana"/>
          <w:bCs/>
        </w:rPr>
        <w:t>. They are:</w:t>
      </w:r>
    </w:p>
    <w:p w14:paraId="5F510198" w14:textId="221F04C5" w:rsidR="000247F2" w:rsidRDefault="009C3DFC" w:rsidP="000247F2">
      <w:pPr>
        <w:pStyle w:val="ListParagraph"/>
        <w:numPr>
          <w:ilvl w:val="0"/>
          <w:numId w:val="46"/>
        </w:numPr>
        <w:rPr>
          <w:rFonts w:ascii="Verdana" w:hAnsi="Verdana"/>
          <w:bCs/>
        </w:rPr>
      </w:pPr>
      <w:r>
        <w:rPr>
          <w:rFonts w:ascii="Verdana" w:hAnsi="Verdana"/>
          <w:bCs/>
        </w:rPr>
        <w:t xml:space="preserve">Investigations to be completed </w:t>
      </w:r>
      <w:r w:rsidR="00F47ED5">
        <w:rPr>
          <w:rFonts w:ascii="Verdana" w:hAnsi="Verdana"/>
          <w:bCs/>
        </w:rPr>
        <w:t>within the set timeframes of two weeks for a level one investigation and four wee</w:t>
      </w:r>
      <w:r w:rsidR="004269D7">
        <w:rPr>
          <w:rFonts w:ascii="Verdana" w:hAnsi="Verdana"/>
          <w:bCs/>
        </w:rPr>
        <w:t>ks for a level 2- achieved on 75% of occasions</w:t>
      </w:r>
      <w:r w:rsidR="00CC328A">
        <w:rPr>
          <w:rFonts w:ascii="Verdana" w:hAnsi="Verdana"/>
          <w:bCs/>
        </w:rPr>
        <w:t xml:space="preserve"> with a 10% tolerance</w:t>
      </w:r>
      <w:r w:rsidR="000247F2">
        <w:rPr>
          <w:rFonts w:ascii="Verdana" w:hAnsi="Verdana"/>
          <w:bCs/>
        </w:rPr>
        <w:t>.</w:t>
      </w:r>
    </w:p>
    <w:p w14:paraId="0B3E07D5" w14:textId="77777777" w:rsidR="00D7525C" w:rsidRPr="00D7525C" w:rsidRDefault="00D7525C" w:rsidP="00D7525C">
      <w:pPr>
        <w:pStyle w:val="ListParagraph"/>
        <w:rPr>
          <w:rFonts w:ascii="Verdana" w:hAnsi="Verdana"/>
          <w:bCs/>
        </w:rPr>
      </w:pPr>
    </w:p>
    <w:p w14:paraId="79500D34" w14:textId="62A84EAB" w:rsidR="004269D7" w:rsidRDefault="000247F2" w:rsidP="004269D7">
      <w:pPr>
        <w:pStyle w:val="ListParagraph"/>
        <w:numPr>
          <w:ilvl w:val="0"/>
          <w:numId w:val="46"/>
        </w:numPr>
        <w:rPr>
          <w:rFonts w:ascii="Verdana" w:hAnsi="Verdana"/>
          <w:bCs/>
        </w:rPr>
      </w:pPr>
      <w:r>
        <w:rPr>
          <w:rFonts w:ascii="Verdana" w:hAnsi="Verdana"/>
          <w:bCs/>
        </w:rPr>
        <w:t>Health and safety acquisition training to be completed prior to going into role on 85% of occasions and 100% of occasions on substantiation of the role.</w:t>
      </w:r>
    </w:p>
    <w:p w14:paraId="1C26F0A4" w14:textId="77777777" w:rsidR="000247F2" w:rsidRPr="000247F2" w:rsidRDefault="000247F2" w:rsidP="000247F2">
      <w:pPr>
        <w:pStyle w:val="ListParagraph"/>
        <w:rPr>
          <w:rFonts w:ascii="Verdana" w:hAnsi="Verdana"/>
          <w:bCs/>
        </w:rPr>
      </w:pPr>
    </w:p>
    <w:p w14:paraId="6DDEEC95" w14:textId="4322A929" w:rsidR="000247F2" w:rsidRDefault="000247F2" w:rsidP="004269D7">
      <w:pPr>
        <w:pStyle w:val="ListParagraph"/>
        <w:numPr>
          <w:ilvl w:val="0"/>
          <w:numId w:val="46"/>
        </w:numPr>
        <w:rPr>
          <w:rFonts w:ascii="Verdana" w:hAnsi="Verdana"/>
          <w:bCs/>
        </w:rPr>
      </w:pPr>
      <w:r>
        <w:rPr>
          <w:rFonts w:ascii="Verdana" w:hAnsi="Verdana"/>
          <w:bCs/>
        </w:rPr>
        <w:t xml:space="preserve">Health and Safety training packages to be completed </w:t>
      </w:r>
      <w:r w:rsidR="00001259">
        <w:rPr>
          <w:rFonts w:ascii="Verdana" w:hAnsi="Verdana"/>
          <w:bCs/>
        </w:rPr>
        <w:t>on 9</w:t>
      </w:r>
      <w:r w:rsidR="00B12D32">
        <w:rPr>
          <w:rFonts w:ascii="Verdana" w:hAnsi="Verdana"/>
          <w:bCs/>
        </w:rPr>
        <w:t>0</w:t>
      </w:r>
      <w:r w:rsidR="00001259">
        <w:rPr>
          <w:rFonts w:ascii="Verdana" w:hAnsi="Verdana"/>
          <w:bCs/>
        </w:rPr>
        <w:t>% of occasions</w:t>
      </w:r>
      <w:r w:rsidR="00B12D32">
        <w:rPr>
          <w:rFonts w:ascii="Verdana" w:hAnsi="Verdana"/>
          <w:bCs/>
        </w:rPr>
        <w:t xml:space="preserve"> with a 10% tolerance</w:t>
      </w:r>
      <w:r w:rsidR="00D7525C">
        <w:rPr>
          <w:rFonts w:ascii="Verdana" w:hAnsi="Verdana"/>
          <w:bCs/>
        </w:rPr>
        <w:t>.</w:t>
      </w:r>
    </w:p>
    <w:p w14:paraId="4A7D25D5" w14:textId="77777777" w:rsidR="00001259" w:rsidRPr="00001259" w:rsidRDefault="00001259" w:rsidP="00001259">
      <w:pPr>
        <w:pStyle w:val="ListParagraph"/>
        <w:rPr>
          <w:rFonts w:ascii="Verdana" w:hAnsi="Verdana"/>
          <w:bCs/>
        </w:rPr>
      </w:pPr>
    </w:p>
    <w:p w14:paraId="01EBB4A1" w14:textId="0E92A192" w:rsidR="00001259" w:rsidRDefault="00001259" w:rsidP="004269D7">
      <w:pPr>
        <w:pStyle w:val="ListParagraph"/>
        <w:numPr>
          <w:ilvl w:val="0"/>
          <w:numId w:val="46"/>
        </w:numPr>
        <w:rPr>
          <w:rFonts w:ascii="Verdana" w:hAnsi="Verdana"/>
          <w:bCs/>
        </w:rPr>
      </w:pPr>
      <w:r>
        <w:rPr>
          <w:rFonts w:ascii="Verdana" w:hAnsi="Verdana"/>
          <w:bCs/>
        </w:rPr>
        <w:t>Fire alarm, emergency lightin</w:t>
      </w:r>
      <w:r w:rsidR="0057681A">
        <w:rPr>
          <w:rFonts w:ascii="Verdana" w:hAnsi="Verdana"/>
          <w:bCs/>
        </w:rPr>
        <w:t xml:space="preserve">g tests and water system flushing to be completed weekly </w:t>
      </w:r>
      <w:r w:rsidR="00B12D32">
        <w:rPr>
          <w:rFonts w:ascii="Verdana" w:hAnsi="Verdana"/>
          <w:bCs/>
        </w:rPr>
        <w:t>on 9</w:t>
      </w:r>
      <w:r w:rsidR="00D7525C">
        <w:rPr>
          <w:rFonts w:ascii="Verdana" w:hAnsi="Verdana"/>
          <w:bCs/>
        </w:rPr>
        <w:t>0</w:t>
      </w:r>
      <w:r w:rsidR="00B12D32">
        <w:rPr>
          <w:rFonts w:ascii="Verdana" w:hAnsi="Verdana"/>
          <w:bCs/>
        </w:rPr>
        <w:t>% of occasions</w:t>
      </w:r>
      <w:r w:rsidR="00D7525C">
        <w:rPr>
          <w:rFonts w:ascii="Verdana" w:hAnsi="Verdana"/>
          <w:bCs/>
        </w:rPr>
        <w:t xml:space="preserve"> with a 10% tolerance.</w:t>
      </w:r>
    </w:p>
    <w:p w14:paraId="72D75CD9" w14:textId="77777777" w:rsidR="000247F2" w:rsidRPr="000247F2" w:rsidRDefault="000247F2" w:rsidP="000247F2">
      <w:pPr>
        <w:pStyle w:val="ListParagraph"/>
        <w:rPr>
          <w:rFonts w:ascii="Verdana" w:hAnsi="Verdana"/>
          <w:bCs/>
        </w:rPr>
      </w:pPr>
    </w:p>
    <w:p w14:paraId="46BA4434" w14:textId="743CFC4F" w:rsidR="000247F2" w:rsidRPr="004269D7" w:rsidRDefault="000247F2" w:rsidP="000247F2">
      <w:pPr>
        <w:pStyle w:val="ListParagraph"/>
        <w:rPr>
          <w:rFonts w:ascii="Verdana" w:hAnsi="Verdana"/>
          <w:bCs/>
        </w:rPr>
      </w:pPr>
    </w:p>
    <w:p w14:paraId="6EECA54C" w14:textId="77777777" w:rsidR="004269D7" w:rsidRPr="009C3DFC" w:rsidRDefault="004269D7" w:rsidP="004269D7">
      <w:pPr>
        <w:pStyle w:val="ListParagraph"/>
        <w:rPr>
          <w:rFonts w:ascii="Verdana" w:hAnsi="Verdana"/>
          <w:bCs/>
        </w:rPr>
      </w:pPr>
    </w:p>
    <w:p w14:paraId="3306E5F1" w14:textId="5EE4144E" w:rsidR="002F7A0E" w:rsidRDefault="002F7A0E" w:rsidP="00935AE8">
      <w:pPr>
        <w:spacing w:after="0"/>
        <w:rPr>
          <w:rFonts w:ascii="Verdana" w:hAnsi="Verdana" w:cstheme="minorHAnsi"/>
        </w:rPr>
      </w:pPr>
    </w:p>
    <w:p w14:paraId="6EEBE207" w14:textId="6A4B23BF" w:rsidR="00327DD6" w:rsidRDefault="00327DD6" w:rsidP="00935AE8">
      <w:pPr>
        <w:spacing w:after="0"/>
        <w:rPr>
          <w:rFonts w:ascii="Verdana" w:hAnsi="Verdana" w:cstheme="minorHAnsi"/>
        </w:rPr>
      </w:pPr>
    </w:p>
    <w:p w14:paraId="5FA7444E" w14:textId="77777777" w:rsidR="00327DD6" w:rsidRPr="00EA5F2D" w:rsidRDefault="00327DD6" w:rsidP="00935AE8">
      <w:pPr>
        <w:spacing w:after="0"/>
        <w:rPr>
          <w:rFonts w:ascii="Verdana" w:hAnsi="Verdana" w:cstheme="minorHAnsi"/>
        </w:rPr>
      </w:pPr>
    </w:p>
    <w:p w14:paraId="3006D498" w14:textId="77777777" w:rsidR="00CC328A" w:rsidRDefault="00CC328A" w:rsidP="00442238">
      <w:pPr>
        <w:spacing w:after="0"/>
        <w:rPr>
          <w:rFonts w:cstheme="minorHAnsi"/>
        </w:rPr>
      </w:pPr>
    </w:p>
    <w:p w14:paraId="1161CA55" w14:textId="77777777" w:rsidR="008A6F5C" w:rsidRDefault="008A6F5C" w:rsidP="00442238">
      <w:pPr>
        <w:spacing w:after="0"/>
        <w:rPr>
          <w:rFonts w:cstheme="minorHAnsi"/>
        </w:rPr>
      </w:pPr>
    </w:p>
    <w:p w14:paraId="4BB8D280" w14:textId="77777777" w:rsidR="008A6F5C" w:rsidRDefault="008A6F5C" w:rsidP="00442238">
      <w:pPr>
        <w:spacing w:after="0"/>
        <w:rPr>
          <w:rFonts w:cstheme="minorHAnsi"/>
        </w:rPr>
      </w:pPr>
    </w:p>
    <w:p w14:paraId="1D769E60" w14:textId="5D21AF67" w:rsidR="008A6F5C" w:rsidRPr="00E11BDE" w:rsidRDefault="00CC328A" w:rsidP="00442238">
      <w:pPr>
        <w:spacing w:after="0"/>
        <w:rPr>
          <w:rFonts w:cstheme="minorHAnsi"/>
        </w:rPr>
      </w:pPr>
      <w:r>
        <w:rPr>
          <w:rFonts w:cstheme="minorHAnsi"/>
        </w:rPr>
        <w:t>*</w:t>
      </w:r>
      <w:r w:rsidR="00EE3DD6">
        <w:rPr>
          <w:rFonts w:cstheme="minorHAnsi"/>
        </w:rPr>
        <w:t xml:space="preserve">Fire Service Rota (FSR) is the electronic resource management system </w:t>
      </w:r>
      <w:r w:rsidR="00230E9A">
        <w:rPr>
          <w:rFonts w:cstheme="minorHAnsi"/>
        </w:rPr>
        <w:t>used</w:t>
      </w:r>
      <w:r w:rsidR="00EE3DD6">
        <w:rPr>
          <w:rFonts w:cstheme="minorHAnsi"/>
        </w:rPr>
        <w:t xml:space="preserve"> to track, </w:t>
      </w:r>
      <w:proofErr w:type="gramStart"/>
      <w:r w:rsidR="00EE3DD6">
        <w:rPr>
          <w:rFonts w:cstheme="minorHAnsi"/>
        </w:rPr>
        <w:t>manage</w:t>
      </w:r>
      <w:proofErr w:type="gramEnd"/>
      <w:r w:rsidR="00EE3DD6">
        <w:rPr>
          <w:rFonts w:cstheme="minorHAnsi"/>
        </w:rPr>
        <w:t xml:space="preserve"> and allocate staff resourc</w:t>
      </w:r>
      <w:r w:rsidR="00FD729A">
        <w:rPr>
          <w:rFonts w:cstheme="minorHAnsi"/>
        </w:rPr>
        <w:t>es</w:t>
      </w:r>
    </w:p>
    <w:p w14:paraId="4BA86AF2" w14:textId="7296C7A9" w:rsidR="006530B6" w:rsidRPr="00156088" w:rsidRDefault="00BF60F6" w:rsidP="00442238">
      <w:pPr>
        <w:spacing w:after="0"/>
        <w:rPr>
          <w:rFonts w:cstheme="minorHAnsi"/>
        </w:rPr>
      </w:pPr>
      <w:r w:rsidRPr="00156088">
        <w:rPr>
          <w:rFonts w:ascii="Verdana" w:eastAsia="Times New Roman" w:hAnsi="Verdana" w:cs="Arial"/>
          <w:sz w:val="44"/>
          <w:szCs w:val="44"/>
          <w:lang w:eastAsia="en-GB"/>
        </w:rPr>
        <w:lastRenderedPageBreak/>
        <w:t>Appendix</w:t>
      </w:r>
      <w:r w:rsidR="0027614E" w:rsidRPr="00156088">
        <w:rPr>
          <w:rFonts w:ascii="Verdana" w:eastAsia="Times New Roman" w:hAnsi="Verdana" w:cs="Arial"/>
          <w:sz w:val="44"/>
          <w:szCs w:val="44"/>
          <w:lang w:eastAsia="en-GB"/>
        </w:rPr>
        <w:t xml:space="preserve"> </w:t>
      </w:r>
    </w:p>
    <w:p w14:paraId="171B97AA" w14:textId="4E8C77AA" w:rsidR="006530B6" w:rsidRPr="00156088" w:rsidRDefault="00660E1F" w:rsidP="0008069F">
      <w:pPr>
        <w:rPr>
          <w:rFonts w:ascii="Verdana" w:hAnsi="Verdana"/>
        </w:rPr>
      </w:pPr>
      <w:r w:rsidRPr="00156088">
        <w:rPr>
          <w:rFonts w:ascii="Verdana" w:eastAsia="Times New Roman" w:hAnsi="Verdana" w:cs="Times New Roman"/>
          <w:sz w:val="32"/>
          <w:szCs w:val="32"/>
          <w:lang w:eastAsia="en-GB"/>
        </w:rPr>
        <w:t xml:space="preserve">National </w:t>
      </w:r>
      <w:r w:rsidR="006530B6" w:rsidRPr="00156088">
        <w:rPr>
          <w:rFonts w:ascii="Verdana" w:eastAsia="Times New Roman" w:hAnsi="Verdana" w:cs="Times New Roman"/>
          <w:sz w:val="32"/>
          <w:szCs w:val="32"/>
          <w:lang w:eastAsia="en-GB"/>
        </w:rPr>
        <w:t>peer group performance comparison tables 20</w:t>
      </w:r>
      <w:r w:rsidR="001A2B63" w:rsidRPr="00156088">
        <w:rPr>
          <w:rFonts w:ascii="Verdana" w:eastAsia="Times New Roman" w:hAnsi="Verdana" w:cs="Times New Roman"/>
          <w:sz w:val="32"/>
          <w:szCs w:val="32"/>
          <w:lang w:eastAsia="en-GB"/>
        </w:rPr>
        <w:t>19</w:t>
      </w:r>
      <w:r w:rsidR="006530B6" w:rsidRPr="00156088">
        <w:rPr>
          <w:rFonts w:ascii="Verdana" w:eastAsia="Times New Roman" w:hAnsi="Verdana" w:cs="Times New Roman"/>
          <w:sz w:val="32"/>
          <w:szCs w:val="32"/>
          <w:lang w:eastAsia="en-GB"/>
        </w:rPr>
        <w:t>/</w:t>
      </w:r>
      <w:r w:rsidR="0029772C" w:rsidRPr="00156088">
        <w:rPr>
          <w:rFonts w:ascii="Verdana" w:eastAsia="Times New Roman" w:hAnsi="Verdana" w:cs="Times New Roman"/>
          <w:sz w:val="32"/>
          <w:szCs w:val="32"/>
          <w:lang w:eastAsia="en-GB"/>
        </w:rPr>
        <w:t>20</w:t>
      </w:r>
      <w:r w:rsidR="006530B6" w:rsidRPr="00156088">
        <w:rPr>
          <w:rFonts w:ascii="Verdana" w:eastAsia="Times New Roman" w:hAnsi="Verdana" w:cs="Times New Roman"/>
          <w:sz w:val="32"/>
          <w:szCs w:val="32"/>
          <w:lang w:eastAsia="en-GB"/>
        </w:rPr>
        <w:t xml:space="preserve"> and 20</w:t>
      </w:r>
      <w:r w:rsidR="0029772C" w:rsidRPr="00156088">
        <w:rPr>
          <w:rFonts w:ascii="Verdana" w:eastAsia="Times New Roman" w:hAnsi="Verdana" w:cs="Times New Roman"/>
          <w:sz w:val="32"/>
          <w:szCs w:val="32"/>
          <w:lang w:eastAsia="en-GB"/>
        </w:rPr>
        <w:t>20</w:t>
      </w:r>
      <w:r w:rsidR="006530B6" w:rsidRPr="00156088">
        <w:rPr>
          <w:rFonts w:ascii="Verdana" w:eastAsia="Times New Roman" w:hAnsi="Verdana" w:cs="Times New Roman"/>
          <w:sz w:val="32"/>
          <w:szCs w:val="32"/>
          <w:lang w:eastAsia="en-GB"/>
        </w:rPr>
        <w:t>/</w:t>
      </w:r>
      <w:r w:rsidR="008511F9" w:rsidRPr="00156088">
        <w:rPr>
          <w:rFonts w:ascii="Verdana" w:eastAsia="Times New Roman" w:hAnsi="Verdana" w:cs="Times New Roman"/>
          <w:sz w:val="32"/>
          <w:szCs w:val="32"/>
          <w:lang w:eastAsia="en-GB"/>
        </w:rPr>
        <w:t>2</w:t>
      </w:r>
      <w:r w:rsidR="0029772C" w:rsidRPr="00156088">
        <w:rPr>
          <w:rFonts w:ascii="Verdana" w:eastAsia="Times New Roman" w:hAnsi="Verdana" w:cs="Times New Roman"/>
          <w:sz w:val="32"/>
          <w:szCs w:val="32"/>
          <w:lang w:eastAsia="en-GB"/>
        </w:rPr>
        <w:t>1</w:t>
      </w:r>
    </w:p>
    <w:p w14:paraId="18960EC1" w14:textId="77777777" w:rsidR="006530B6" w:rsidRPr="00536DE8" w:rsidRDefault="006530B6" w:rsidP="006530B6">
      <w:pPr>
        <w:spacing w:after="0" w:line="240" w:lineRule="auto"/>
        <w:rPr>
          <w:rFonts w:ascii="Verdana" w:eastAsia="Times New Roman" w:hAnsi="Verdana" w:cs="Times New Roman"/>
          <w:highlight w:val="yellow"/>
          <w:lang w:eastAsia="en-GB"/>
        </w:rPr>
      </w:pPr>
    </w:p>
    <w:p w14:paraId="4FC0CC37" w14:textId="241C8533" w:rsidR="00220433" w:rsidRPr="00156088" w:rsidRDefault="00220433" w:rsidP="0008069F">
      <w:pPr>
        <w:spacing w:after="0"/>
        <w:rPr>
          <w:rFonts w:ascii="Verdana" w:eastAsia="Times New Roman" w:hAnsi="Verdana" w:cs="Times New Roman"/>
          <w:lang w:eastAsia="en-GB"/>
        </w:rPr>
      </w:pPr>
      <w:r w:rsidRPr="00156088">
        <w:rPr>
          <w:rFonts w:ascii="Verdana" w:eastAsia="Times New Roman" w:hAnsi="Verdana" w:cs="Times New Roman"/>
          <w:lang w:eastAsia="en-GB"/>
        </w:rPr>
        <w:t xml:space="preserve">The </w:t>
      </w:r>
      <w:r w:rsidR="00627ED9" w:rsidRPr="00156088">
        <w:rPr>
          <w:rFonts w:ascii="Verdana" w:eastAsia="Times New Roman" w:hAnsi="Verdana" w:cs="Times New Roman"/>
          <w:lang w:eastAsia="en-GB"/>
        </w:rPr>
        <w:t>Health and Safety</w:t>
      </w:r>
      <w:r w:rsidRPr="00156088">
        <w:rPr>
          <w:rFonts w:ascii="Verdana" w:eastAsia="Times New Roman" w:hAnsi="Verdana" w:cs="Times New Roman"/>
          <w:lang w:eastAsia="en-GB"/>
        </w:rPr>
        <w:t xml:space="preserve"> </w:t>
      </w:r>
      <w:r w:rsidR="005620C2" w:rsidRPr="00156088">
        <w:rPr>
          <w:rFonts w:ascii="Verdana" w:eastAsia="Times New Roman" w:hAnsi="Verdana" w:cs="Times New Roman"/>
          <w:lang w:eastAsia="en-GB"/>
        </w:rPr>
        <w:t>d</w:t>
      </w:r>
      <w:r w:rsidRPr="00156088">
        <w:rPr>
          <w:rFonts w:ascii="Verdana" w:eastAsia="Times New Roman" w:hAnsi="Verdana" w:cs="Times New Roman"/>
          <w:lang w:eastAsia="en-GB"/>
        </w:rPr>
        <w:t xml:space="preserve">epartment </w:t>
      </w:r>
      <w:r w:rsidR="00E11968" w:rsidRPr="00156088">
        <w:rPr>
          <w:rFonts w:ascii="Verdana" w:eastAsia="Times New Roman" w:hAnsi="Verdana" w:cs="Times New Roman"/>
          <w:lang w:eastAsia="en-GB"/>
        </w:rPr>
        <w:t>is</w:t>
      </w:r>
      <w:r w:rsidRPr="00156088">
        <w:rPr>
          <w:rFonts w:ascii="Verdana" w:eastAsia="Times New Roman" w:hAnsi="Verdana" w:cs="Times New Roman"/>
          <w:lang w:eastAsia="en-GB"/>
        </w:rPr>
        <w:t xml:space="preserve"> required to report on BFRS end of year accident statistical returns to the </w:t>
      </w:r>
      <w:r w:rsidR="00247B33" w:rsidRPr="00156088">
        <w:rPr>
          <w:rFonts w:ascii="Verdana" w:eastAsia="Times New Roman" w:hAnsi="Verdana" w:cs="Times New Roman"/>
          <w:lang w:eastAsia="en-GB"/>
        </w:rPr>
        <w:t>Home Office</w:t>
      </w:r>
      <w:r w:rsidRPr="00156088">
        <w:rPr>
          <w:rFonts w:ascii="Verdana" w:eastAsia="Times New Roman" w:hAnsi="Verdana" w:cs="Times New Roman"/>
          <w:lang w:eastAsia="en-GB"/>
        </w:rPr>
        <w:t xml:space="preserve"> on 31 May 20</w:t>
      </w:r>
      <w:r w:rsidR="008511F9" w:rsidRPr="00156088">
        <w:rPr>
          <w:rFonts w:ascii="Verdana" w:eastAsia="Times New Roman" w:hAnsi="Verdana" w:cs="Times New Roman"/>
          <w:lang w:eastAsia="en-GB"/>
        </w:rPr>
        <w:t>2</w:t>
      </w:r>
      <w:r w:rsidR="0029772C" w:rsidRPr="00156088">
        <w:rPr>
          <w:rFonts w:ascii="Verdana" w:eastAsia="Times New Roman" w:hAnsi="Verdana" w:cs="Times New Roman"/>
          <w:lang w:eastAsia="en-GB"/>
        </w:rPr>
        <w:t>1</w:t>
      </w:r>
      <w:r w:rsidRPr="00156088">
        <w:rPr>
          <w:rFonts w:ascii="Verdana" w:eastAsia="Times New Roman" w:hAnsi="Verdana" w:cs="Times New Roman"/>
          <w:lang w:eastAsia="en-GB"/>
        </w:rPr>
        <w:t xml:space="preserve"> for the period 1 April 20</w:t>
      </w:r>
      <w:r w:rsidR="0029772C" w:rsidRPr="00156088">
        <w:rPr>
          <w:rFonts w:ascii="Verdana" w:eastAsia="Times New Roman" w:hAnsi="Verdana" w:cs="Times New Roman"/>
          <w:lang w:eastAsia="en-GB"/>
        </w:rPr>
        <w:t>20</w:t>
      </w:r>
      <w:r w:rsidRPr="00156088">
        <w:rPr>
          <w:rFonts w:ascii="Verdana" w:eastAsia="Times New Roman" w:hAnsi="Verdana" w:cs="Times New Roman"/>
          <w:lang w:eastAsia="en-GB"/>
        </w:rPr>
        <w:t xml:space="preserve"> to 31 March 20</w:t>
      </w:r>
      <w:r w:rsidR="008511F9" w:rsidRPr="00156088">
        <w:rPr>
          <w:rFonts w:ascii="Verdana" w:eastAsia="Times New Roman" w:hAnsi="Verdana" w:cs="Times New Roman"/>
          <w:lang w:eastAsia="en-GB"/>
        </w:rPr>
        <w:t>2</w:t>
      </w:r>
      <w:r w:rsidR="0029772C" w:rsidRPr="00156088">
        <w:rPr>
          <w:rFonts w:ascii="Verdana" w:eastAsia="Times New Roman" w:hAnsi="Verdana" w:cs="Times New Roman"/>
          <w:lang w:eastAsia="en-GB"/>
        </w:rPr>
        <w:t>1</w:t>
      </w:r>
      <w:r w:rsidRPr="00156088">
        <w:rPr>
          <w:rFonts w:ascii="Verdana" w:eastAsia="Times New Roman" w:hAnsi="Verdana" w:cs="Times New Roman"/>
          <w:lang w:eastAsia="en-GB"/>
        </w:rPr>
        <w:t xml:space="preserve">. </w:t>
      </w:r>
    </w:p>
    <w:p w14:paraId="32674C79" w14:textId="77777777" w:rsidR="00220433" w:rsidRPr="00536DE8" w:rsidRDefault="00220433" w:rsidP="00220433">
      <w:pPr>
        <w:spacing w:after="0" w:line="240" w:lineRule="auto"/>
        <w:rPr>
          <w:rFonts w:ascii="Verdana" w:eastAsia="Times New Roman" w:hAnsi="Verdana" w:cs="Times New Roman"/>
          <w:highlight w:val="yellow"/>
          <w:lang w:eastAsia="en-GB"/>
        </w:rPr>
      </w:pPr>
    </w:p>
    <w:p w14:paraId="3FED866A" w14:textId="77777777" w:rsidR="00220433" w:rsidRPr="00CF2ECF" w:rsidRDefault="00220433" w:rsidP="0008069F">
      <w:pPr>
        <w:spacing w:after="0" w:line="240" w:lineRule="auto"/>
        <w:rPr>
          <w:rFonts w:ascii="Verdana" w:eastAsia="Times New Roman" w:hAnsi="Verdana" w:cs="Times New Roman"/>
          <w:b/>
          <w:lang w:eastAsia="en-GB"/>
        </w:rPr>
      </w:pPr>
      <w:r w:rsidRPr="00CF2ECF">
        <w:rPr>
          <w:rFonts w:ascii="Verdana" w:eastAsia="Times New Roman" w:hAnsi="Verdana" w:cs="Times New Roman"/>
          <w:b/>
          <w:lang w:eastAsia="en-GB"/>
        </w:rPr>
        <w:t>Summary:</w:t>
      </w:r>
      <w:r w:rsidR="00A5411F" w:rsidRPr="00CF2ECF">
        <w:rPr>
          <w:rFonts w:ascii="Verdana" w:eastAsia="Times New Roman" w:hAnsi="Verdana" w:cs="Times New Roman"/>
          <w:b/>
          <w:lang w:eastAsia="en-GB"/>
        </w:rPr>
        <w:t xml:space="preserve"> </w:t>
      </w:r>
    </w:p>
    <w:p w14:paraId="164A5CCA" w14:textId="77777777" w:rsidR="00814DB8" w:rsidRPr="00CF2ECF" w:rsidRDefault="00814DB8" w:rsidP="0008069F">
      <w:pPr>
        <w:spacing w:after="0" w:line="240" w:lineRule="auto"/>
        <w:rPr>
          <w:rFonts w:ascii="Verdana" w:eastAsia="Times New Roman" w:hAnsi="Verdana" w:cs="Times New Roman"/>
          <w:lang w:eastAsia="en-GB"/>
        </w:rPr>
      </w:pPr>
    </w:p>
    <w:p w14:paraId="3DD6616A" w14:textId="575826C1" w:rsidR="00220433" w:rsidRPr="00CF2ECF" w:rsidRDefault="00220433" w:rsidP="0008069F">
      <w:pPr>
        <w:spacing w:after="0" w:line="240" w:lineRule="auto"/>
        <w:rPr>
          <w:rFonts w:ascii="Verdana" w:eastAsia="Times New Roman" w:hAnsi="Verdana" w:cs="Times New Roman"/>
          <w:lang w:eastAsia="en-GB"/>
        </w:rPr>
      </w:pPr>
      <w:r w:rsidRPr="00CF2ECF">
        <w:rPr>
          <w:rFonts w:ascii="Verdana" w:eastAsia="Times New Roman" w:hAnsi="Verdana" w:cs="Times New Roman"/>
          <w:lang w:eastAsia="en-GB"/>
        </w:rPr>
        <w:t xml:space="preserve">The </w:t>
      </w:r>
      <w:r w:rsidR="00627ED9" w:rsidRPr="00CF2ECF">
        <w:rPr>
          <w:rFonts w:ascii="Verdana" w:eastAsia="Times New Roman" w:hAnsi="Verdana" w:cs="Times New Roman"/>
          <w:lang w:eastAsia="en-GB"/>
        </w:rPr>
        <w:t>Health and Safety</w:t>
      </w:r>
      <w:r w:rsidRPr="00CF2ECF">
        <w:rPr>
          <w:rFonts w:ascii="Verdana" w:eastAsia="Times New Roman" w:hAnsi="Verdana" w:cs="Times New Roman"/>
          <w:lang w:eastAsia="en-GB"/>
        </w:rPr>
        <w:t xml:space="preserve"> </w:t>
      </w:r>
      <w:r w:rsidR="005620C2" w:rsidRPr="00CF2ECF">
        <w:rPr>
          <w:rFonts w:ascii="Verdana" w:eastAsia="Times New Roman" w:hAnsi="Verdana" w:cs="Times New Roman"/>
          <w:lang w:eastAsia="en-GB"/>
        </w:rPr>
        <w:t>d</w:t>
      </w:r>
      <w:r w:rsidR="0072193F" w:rsidRPr="00CF2ECF">
        <w:rPr>
          <w:rFonts w:ascii="Verdana" w:eastAsia="Times New Roman" w:hAnsi="Verdana" w:cs="Times New Roman"/>
          <w:lang w:eastAsia="en-GB"/>
        </w:rPr>
        <w:t>epartment provided returns for:</w:t>
      </w:r>
    </w:p>
    <w:p w14:paraId="6463E38A" w14:textId="77777777" w:rsidR="00220433" w:rsidRPr="00CF2ECF" w:rsidRDefault="00220433" w:rsidP="00220433">
      <w:pPr>
        <w:spacing w:after="0" w:line="240" w:lineRule="auto"/>
        <w:rPr>
          <w:rFonts w:ascii="Verdana" w:eastAsia="Times New Roman" w:hAnsi="Verdana" w:cs="Times New Roman"/>
          <w:lang w:eastAsia="en-GB"/>
        </w:rPr>
      </w:pPr>
    </w:p>
    <w:p w14:paraId="671D22A3" w14:textId="77777777" w:rsidR="00220433" w:rsidRPr="00CF2ECF" w:rsidRDefault="00AE799D" w:rsidP="0008069F">
      <w:pPr>
        <w:spacing w:after="0"/>
        <w:rPr>
          <w:rFonts w:ascii="Verdana" w:eastAsia="Times New Roman" w:hAnsi="Verdana" w:cs="Times New Roman"/>
          <w:lang w:eastAsia="en-GB"/>
        </w:rPr>
      </w:pPr>
      <w:r w:rsidRPr="00CF2ECF">
        <w:rPr>
          <w:rFonts w:ascii="Verdana" w:eastAsia="Times New Roman" w:hAnsi="Verdana" w:cs="Times New Roman"/>
          <w:b/>
          <w:lang w:eastAsia="en-GB"/>
        </w:rPr>
        <w:t>HS1</w:t>
      </w:r>
      <w:r w:rsidRPr="00CF2ECF">
        <w:rPr>
          <w:rFonts w:ascii="Verdana" w:eastAsia="Times New Roman" w:hAnsi="Verdana" w:cs="Times New Roman"/>
          <w:lang w:eastAsia="en-GB"/>
        </w:rPr>
        <w:t xml:space="preserve"> - i</w:t>
      </w:r>
      <w:r w:rsidR="00220433" w:rsidRPr="00CF2ECF">
        <w:rPr>
          <w:rFonts w:ascii="Verdana" w:eastAsia="Times New Roman" w:hAnsi="Verdana" w:cs="Times New Roman"/>
          <w:lang w:eastAsia="en-GB"/>
        </w:rPr>
        <w:t xml:space="preserve">njuries during operational incidents, </w:t>
      </w:r>
      <w:r w:rsidR="00B46DB8" w:rsidRPr="00CF2ECF">
        <w:rPr>
          <w:rFonts w:ascii="Verdana" w:eastAsia="Times New Roman" w:hAnsi="Verdana" w:cs="Times New Roman"/>
          <w:lang w:eastAsia="en-GB"/>
        </w:rPr>
        <w:t>encompassing both</w:t>
      </w:r>
      <w:r w:rsidR="00220433" w:rsidRPr="00CF2ECF">
        <w:rPr>
          <w:rFonts w:ascii="Verdana" w:eastAsia="Times New Roman" w:hAnsi="Verdana" w:cs="Times New Roman"/>
          <w:lang w:eastAsia="en-GB"/>
        </w:rPr>
        <w:t xml:space="preserve"> Wholetime and On-Call </w:t>
      </w:r>
      <w:r w:rsidR="00B46DB8" w:rsidRPr="00CF2ECF">
        <w:rPr>
          <w:rFonts w:ascii="Verdana" w:eastAsia="Times New Roman" w:hAnsi="Verdana" w:cs="Times New Roman"/>
          <w:lang w:eastAsia="en-GB"/>
        </w:rPr>
        <w:t>employees</w:t>
      </w:r>
      <w:r w:rsidR="00220433" w:rsidRPr="00CF2ECF">
        <w:rPr>
          <w:rFonts w:ascii="Verdana" w:eastAsia="Times New Roman" w:hAnsi="Verdana" w:cs="Times New Roman"/>
          <w:lang w:eastAsia="en-GB"/>
        </w:rPr>
        <w:t xml:space="preserve"> and sub</w:t>
      </w:r>
      <w:r w:rsidR="004766C4" w:rsidRPr="00CF2ECF">
        <w:rPr>
          <w:rFonts w:ascii="Verdana" w:eastAsia="Times New Roman" w:hAnsi="Verdana" w:cs="Times New Roman"/>
          <w:lang w:eastAsia="en-GB"/>
        </w:rPr>
        <w:t>-</w:t>
      </w:r>
      <w:r w:rsidR="00220433" w:rsidRPr="00CF2ECF">
        <w:rPr>
          <w:rFonts w:ascii="Verdana" w:eastAsia="Times New Roman" w:hAnsi="Verdana" w:cs="Times New Roman"/>
          <w:lang w:eastAsia="en-GB"/>
        </w:rPr>
        <w:t xml:space="preserve">divided </w:t>
      </w:r>
      <w:r w:rsidR="00B46DB8" w:rsidRPr="00CF2ECF">
        <w:rPr>
          <w:rFonts w:ascii="Verdana" w:eastAsia="Times New Roman" w:hAnsi="Verdana" w:cs="Times New Roman"/>
          <w:lang w:eastAsia="en-GB"/>
        </w:rPr>
        <w:t>into</w:t>
      </w:r>
      <w:r w:rsidR="00220433" w:rsidRPr="00CF2ECF">
        <w:rPr>
          <w:rFonts w:ascii="Verdana" w:eastAsia="Times New Roman" w:hAnsi="Verdana" w:cs="Times New Roman"/>
          <w:lang w:eastAsia="en-GB"/>
        </w:rPr>
        <w:t xml:space="preserve"> </w:t>
      </w:r>
      <w:r w:rsidR="00B46DB8" w:rsidRPr="00CF2ECF">
        <w:rPr>
          <w:rFonts w:ascii="Verdana" w:eastAsia="Times New Roman" w:hAnsi="Verdana" w:cs="Times New Roman"/>
          <w:lang w:eastAsia="en-GB"/>
        </w:rPr>
        <w:t>injuries</w:t>
      </w:r>
      <w:r w:rsidR="00074A9C" w:rsidRPr="00CF2ECF">
        <w:rPr>
          <w:rFonts w:ascii="Verdana" w:eastAsia="Times New Roman" w:hAnsi="Verdana" w:cs="Times New Roman"/>
          <w:lang w:eastAsia="en-GB"/>
        </w:rPr>
        <w:t xml:space="preserve"> at fires, at road traffic c</w:t>
      </w:r>
      <w:r w:rsidR="00220433" w:rsidRPr="00CF2ECF">
        <w:rPr>
          <w:rFonts w:ascii="Verdana" w:eastAsia="Times New Roman" w:hAnsi="Verdana" w:cs="Times New Roman"/>
          <w:lang w:eastAsia="en-GB"/>
        </w:rPr>
        <w:t xml:space="preserve">ollisions and at other Special Service </w:t>
      </w:r>
      <w:r w:rsidR="00B46DB8" w:rsidRPr="00CF2ECF">
        <w:rPr>
          <w:rFonts w:ascii="Verdana" w:eastAsia="Times New Roman" w:hAnsi="Verdana" w:cs="Times New Roman"/>
          <w:lang w:eastAsia="en-GB"/>
        </w:rPr>
        <w:t>c</w:t>
      </w:r>
      <w:r w:rsidR="00220433" w:rsidRPr="00CF2ECF">
        <w:rPr>
          <w:rFonts w:ascii="Verdana" w:eastAsia="Times New Roman" w:hAnsi="Verdana" w:cs="Times New Roman"/>
          <w:lang w:eastAsia="en-GB"/>
        </w:rPr>
        <w:t>alls.</w:t>
      </w:r>
    </w:p>
    <w:p w14:paraId="63C6AA91" w14:textId="77777777" w:rsidR="00220433" w:rsidRPr="00CF2ECF" w:rsidRDefault="00220433" w:rsidP="001F241F">
      <w:pPr>
        <w:spacing w:after="0"/>
        <w:rPr>
          <w:rFonts w:ascii="Verdana" w:eastAsia="Times New Roman" w:hAnsi="Verdana" w:cs="Times New Roman"/>
          <w:lang w:eastAsia="en-GB"/>
        </w:rPr>
      </w:pPr>
    </w:p>
    <w:p w14:paraId="578A7755" w14:textId="77777777" w:rsidR="00220433" w:rsidRPr="00CF2ECF" w:rsidRDefault="00AE799D" w:rsidP="0008069F">
      <w:pPr>
        <w:spacing w:after="0"/>
        <w:rPr>
          <w:rFonts w:ascii="Verdana" w:eastAsia="Times New Roman" w:hAnsi="Verdana" w:cs="Times New Roman"/>
          <w:lang w:eastAsia="en-GB"/>
        </w:rPr>
      </w:pPr>
      <w:r w:rsidRPr="00CF2ECF">
        <w:rPr>
          <w:rFonts w:ascii="Verdana" w:eastAsia="Times New Roman" w:hAnsi="Verdana" w:cs="Times New Roman"/>
          <w:b/>
          <w:lang w:eastAsia="en-GB"/>
        </w:rPr>
        <w:t>HS2</w:t>
      </w:r>
      <w:r w:rsidRPr="00CF2ECF">
        <w:rPr>
          <w:rFonts w:ascii="Verdana" w:eastAsia="Times New Roman" w:hAnsi="Verdana" w:cs="Times New Roman"/>
          <w:lang w:eastAsia="en-GB"/>
        </w:rPr>
        <w:t xml:space="preserve"> - i</w:t>
      </w:r>
      <w:r w:rsidR="00220433" w:rsidRPr="00CF2ECF">
        <w:rPr>
          <w:rFonts w:ascii="Verdana" w:eastAsia="Times New Roman" w:hAnsi="Verdana" w:cs="Times New Roman"/>
          <w:lang w:eastAsia="en-GB"/>
        </w:rPr>
        <w:t xml:space="preserve">njuries during training and routine activities also </w:t>
      </w:r>
      <w:r w:rsidR="00B46DB8" w:rsidRPr="00CF2ECF">
        <w:rPr>
          <w:rFonts w:ascii="Verdana" w:eastAsia="Times New Roman" w:hAnsi="Verdana" w:cs="Times New Roman"/>
          <w:lang w:eastAsia="en-GB"/>
        </w:rPr>
        <w:t xml:space="preserve">encompassing </w:t>
      </w:r>
      <w:r w:rsidR="00220433" w:rsidRPr="00CF2ECF">
        <w:rPr>
          <w:rFonts w:ascii="Verdana" w:eastAsia="Times New Roman" w:hAnsi="Verdana" w:cs="Times New Roman"/>
          <w:lang w:eastAsia="en-GB"/>
        </w:rPr>
        <w:t xml:space="preserve">Wholetime and On-Call </w:t>
      </w:r>
      <w:r w:rsidR="00B46DB8" w:rsidRPr="00CF2ECF">
        <w:rPr>
          <w:rFonts w:ascii="Verdana" w:eastAsia="Times New Roman" w:hAnsi="Verdana" w:cs="Times New Roman"/>
          <w:lang w:eastAsia="en-GB"/>
        </w:rPr>
        <w:t>employees</w:t>
      </w:r>
      <w:r w:rsidR="00220433" w:rsidRPr="00CF2ECF">
        <w:rPr>
          <w:rFonts w:ascii="Verdana" w:eastAsia="Times New Roman" w:hAnsi="Verdana" w:cs="Times New Roman"/>
          <w:lang w:eastAsia="en-GB"/>
        </w:rPr>
        <w:t xml:space="preserve"> and sub</w:t>
      </w:r>
      <w:r w:rsidR="0072193F" w:rsidRPr="00CF2ECF">
        <w:rPr>
          <w:rFonts w:ascii="Verdana" w:eastAsia="Times New Roman" w:hAnsi="Verdana" w:cs="Times New Roman"/>
          <w:lang w:eastAsia="en-GB"/>
        </w:rPr>
        <w:t>-</w:t>
      </w:r>
      <w:r w:rsidR="00220433" w:rsidRPr="00CF2ECF">
        <w:rPr>
          <w:rFonts w:ascii="Verdana" w:eastAsia="Times New Roman" w:hAnsi="Verdana" w:cs="Times New Roman"/>
          <w:lang w:eastAsia="en-GB"/>
        </w:rPr>
        <w:t>divided</w:t>
      </w:r>
      <w:r w:rsidR="00B46DB8" w:rsidRPr="00CF2ECF">
        <w:rPr>
          <w:rFonts w:ascii="Verdana" w:eastAsia="Times New Roman" w:hAnsi="Verdana" w:cs="Times New Roman"/>
          <w:lang w:eastAsia="en-GB"/>
        </w:rPr>
        <w:t xml:space="preserve"> into</w:t>
      </w:r>
      <w:r w:rsidR="00220433" w:rsidRPr="00CF2ECF">
        <w:rPr>
          <w:rFonts w:ascii="Verdana" w:eastAsia="Times New Roman" w:hAnsi="Verdana" w:cs="Times New Roman"/>
          <w:lang w:eastAsia="en-GB"/>
        </w:rPr>
        <w:t xml:space="preserve"> </w:t>
      </w:r>
      <w:r w:rsidR="00B46DB8" w:rsidRPr="00CF2ECF">
        <w:rPr>
          <w:rFonts w:ascii="Verdana" w:eastAsia="Times New Roman" w:hAnsi="Verdana" w:cs="Times New Roman"/>
          <w:lang w:eastAsia="en-GB"/>
        </w:rPr>
        <w:t>injuries</w:t>
      </w:r>
      <w:r w:rsidR="00220433" w:rsidRPr="00CF2ECF">
        <w:rPr>
          <w:rFonts w:ascii="Verdana" w:eastAsia="Times New Roman" w:hAnsi="Verdana" w:cs="Times New Roman"/>
          <w:lang w:eastAsia="en-GB"/>
        </w:rPr>
        <w:t xml:space="preserve"> during operational training, fitness training and routine activities</w:t>
      </w:r>
      <w:r w:rsidR="00074A9C" w:rsidRPr="00CF2ECF">
        <w:rPr>
          <w:rFonts w:ascii="Verdana" w:eastAsia="Times New Roman" w:hAnsi="Verdana" w:cs="Times New Roman"/>
          <w:lang w:eastAsia="en-GB"/>
        </w:rPr>
        <w:t>.</w:t>
      </w:r>
    </w:p>
    <w:p w14:paraId="7610DEFA" w14:textId="77777777" w:rsidR="00745402" w:rsidRPr="00CF2ECF" w:rsidRDefault="00745402" w:rsidP="001F241F">
      <w:pPr>
        <w:spacing w:after="0"/>
        <w:rPr>
          <w:rFonts w:ascii="Verdana" w:eastAsia="Times New Roman" w:hAnsi="Verdana" w:cs="Times New Roman"/>
          <w:lang w:eastAsia="en-GB"/>
        </w:rPr>
      </w:pPr>
    </w:p>
    <w:p w14:paraId="00471AA1" w14:textId="77777777" w:rsidR="004A2F94" w:rsidRPr="00CF2ECF" w:rsidRDefault="00220433" w:rsidP="0008069F">
      <w:pPr>
        <w:spacing w:after="0" w:line="240" w:lineRule="auto"/>
        <w:rPr>
          <w:rFonts w:ascii="Verdana" w:eastAsia="Times New Roman" w:hAnsi="Verdana" w:cs="Times New Roman"/>
          <w:b/>
          <w:lang w:eastAsia="en-GB"/>
        </w:rPr>
      </w:pPr>
      <w:r w:rsidRPr="00CF2ECF">
        <w:rPr>
          <w:rFonts w:ascii="Verdana" w:eastAsia="Times New Roman" w:hAnsi="Verdana" w:cs="Times New Roman"/>
          <w:b/>
          <w:lang w:eastAsia="en-GB"/>
        </w:rPr>
        <w:t>Findings:</w:t>
      </w:r>
    </w:p>
    <w:p w14:paraId="42D54511" w14:textId="77777777" w:rsidR="004A2F94" w:rsidRPr="00CF2ECF" w:rsidRDefault="004A2F94" w:rsidP="00220433">
      <w:pPr>
        <w:spacing w:after="0" w:line="240" w:lineRule="auto"/>
        <w:rPr>
          <w:rFonts w:ascii="Verdana" w:eastAsia="Times New Roman" w:hAnsi="Verdana" w:cs="Times New Roman"/>
          <w:b/>
          <w:lang w:eastAsia="en-GB"/>
        </w:rPr>
      </w:pPr>
    </w:p>
    <w:p w14:paraId="0AC767F6" w14:textId="7A1608B1" w:rsidR="002C64BA" w:rsidRPr="00CF2ECF" w:rsidRDefault="004A2F94" w:rsidP="0008069F">
      <w:pPr>
        <w:rPr>
          <w:rFonts w:ascii="Verdana" w:hAnsi="Verdana"/>
        </w:rPr>
      </w:pPr>
      <w:r w:rsidRPr="00CF2ECF">
        <w:rPr>
          <w:rFonts w:ascii="Verdana" w:eastAsia="Times New Roman" w:hAnsi="Verdana" w:cs="Times New Roman"/>
          <w:b/>
          <w:lang w:eastAsia="en-GB"/>
        </w:rPr>
        <w:t xml:space="preserve">HS1 </w:t>
      </w:r>
      <w:r w:rsidR="000A4121" w:rsidRPr="00CF2ECF">
        <w:rPr>
          <w:rFonts w:ascii="Verdana" w:eastAsia="Times New Roman" w:hAnsi="Verdana" w:cs="Times New Roman"/>
          <w:b/>
          <w:lang w:eastAsia="en-GB"/>
        </w:rPr>
        <w:t>–</w:t>
      </w:r>
      <w:r w:rsidR="00CF2ECF">
        <w:rPr>
          <w:rFonts w:ascii="Verdana" w:eastAsia="Times New Roman" w:hAnsi="Verdana" w:cs="Times New Roman"/>
          <w:b/>
          <w:lang w:eastAsia="en-GB"/>
        </w:rPr>
        <w:t xml:space="preserve"> </w:t>
      </w:r>
      <w:r w:rsidR="00CF2ECF">
        <w:rPr>
          <w:rFonts w:ascii="Verdana" w:eastAsia="Times New Roman" w:hAnsi="Verdana" w:cs="Times New Roman"/>
          <w:bCs/>
          <w:lang w:eastAsia="en-GB"/>
        </w:rPr>
        <w:t>Pleasingly, t</w:t>
      </w:r>
      <w:r w:rsidR="00213747" w:rsidRPr="00CF2ECF">
        <w:rPr>
          <w:rFonts w:ascii="Verdana" w:eastAsia="Times New Roman" w:hAnsi="Verdana" w:cs="Times New Roman"/>
          <w:lang w:eastAsia="en-GB"/>
        </w:rPr>
        <w:t>he year 20</w:t>
      </w:r>
      <w:r w:rsidR="00CF2ECF">
        <w:rPr>
          <w:rFonts w:ascii="Verdana" w:eastAsia="Times New Roman" w:hAnsi="Verdana" w:cs="Times New Roman"/>
          <w:lang w:eastAsia="en-GB"/>
        </w:rPr>
        <w:t>20/21</w:t>
      </w:r>
      <w:r w:rsidR="00213747" w:rsidRPr="00CF2ECF">
        <w:rPr>
          <w:rFonts w:ascii="Verdana" w:eastAsia="Times New Roman" w:hAnsi="Verdana" w:cs="Times New Roman"/>
          <w:lang w:eastAsia="en-GB"/>
        </w:rPr>
        <w:t xml:space="preserve"> has seen </w:t>
      </w:r>
      <w:r w:rsidR="000A4121" w:rsidRPr="00CF2ECF">
        <w:rPr>
          <w:rFonts w:ascii="Verdana" w:eastAsia="Times New Roman" w:hAnsi="Verdana" w:cs="Times New Roman"/>
          <w:lang w:eastAsia="en-GB"/>
        </w:rPr>
        <w:t>a</w:t>
      </w:r>
      <w:r w:rsidR="00D95489" w:rsidRPr="00CF2ECF">
        <w:rPr>
          <w:rFonts w:ascii="Verdana" w:eastAsia="Times New Roman" w:hAnsi="Verdana" w:cs="Times New Roman"/>
          <w:lang w:eastAsia="en-GB"/>
        </w:rPr>
        <w:t xml:space="preserve"> </w:t>
      </w:r>
      <w:r w:rsidR="00CF2ECF">
        <w:rPr>
          <w:rFonts w:ascii="Verdana" w:eastAsia="Times New Roman" w:hAnsi="Verdana" w:cs="Times New Roman"/>
          <w:lang w:eastAsia="en-GB"/>
        </w:rPr>
        <w:t xml:space="preserve">significant decrease </w:t>
      </w:r>
      <w:r w:rsidR="000A4121" w:rsidRPr="00CF2ECF">
        <w:rPr>
          <w:rFonts w:ascii="Verdana" w:eastAsia="Times New Roman" w:hAnsi="Verdana" w:cs="Times New Roman"/>
          <w:lang w:eastAsia="en-GB"/>
        </w:rPr>
        <w:t xml:space="preserve">in the </w:t>
      </w:r>
      <w:r w:rsidR="00D107B7" w:rsidRPr="00D107B7">
        <w:rPr>
          <w:rFonts w:ascii="Verdana" w:eastAsia="Times New Roman" w:hAnsi="Verdana" w:cs="Times New Roman"/>
          <w:i/>
          <w:iCs/>
          <w:lang w:eastAsia="en-GB"/>
        </w:rPr>
        <w:t xml:space="preserve">total </w:t>
      </w:r>
      <w:r w:rsidR="000A4121" w:rsidRPr="00D107B7">
        <w:rPr>
          <w:rFonts w:ascii="Verdana" w:eastAsia="Times New Roman" w:hAnsi="Verdana" w:cs="Times New Roman"/>
          <w:i/>
          <w:iCs/>
          <w:lang w:eastAsia="en-GB"/>
        </w:rPr>
        <w:t xml:space="preserve">number </w:t>
      </w:r>
      <w:r w:rsidR="00074A9C" w:rsidRPr="00D107B7">
        <w:rPr>
          <w:rFonts w:ascii="Verdana" w:eastAsia="Times New Roman" w:hAnsi="Verdana" w:cs="Times New Roman"/>
          <w:i/>
          <w:iCs/>
          <w:lang w:eastAsia="en-GB"/>
        </w:rPr>
        <w:t xml:space="preserve">of </w:t>
      </w:r>
      <w:r w:rsidR="000A4121" w:rsidRPr="00D107B7">
        <w:rPr>
          <w:rFonts w:ascii="Verdana" w:eastAsia="Times New Roman" w:hAnsi="Verdana" w:cs="Times New Roman"/>
          <w:i/>
          <w:iCs/>
          <w:lang w:eastAsia="en-GB"/>
        </w:rPr>
        <w:t>personnel injured at operational incidents</w:t>
      </w:r>
      <w:r w:rsidR="000A4121" w:rsidRPr="00CF2ECF">
        <w:rPr>
          <w:rFonts w:ascii="Verdana" w:eastAsia="Times New Roman" w:hAnsi="Verdana" w:cs="Times New Roman"/>
          <w:lang w:eastAsia="en-GB"/>
        </w:rPr>
        <w:t xml:space="preserve"> from </w:t>
      </w:r>
      <w:r w:rsidR="00CF2ECF">
        <w:rPr>
          <w:rFonts w:ascii="Verdana" w:eastAsia="Times New Roman" w:hAnsi="Verdana" w:cs="Times New Roman"/>
          <w:lang w:eastAsia="en-GB"/>
        </w:rPr>
        <w:t>38 to 24</w:t>
      </w:r>
      <w:r w:rsidR="00213747" w:rsidRPr="00CF2ECF">
        <w:rPr>
          <w:rFonts w:ascii="Verdana" w:eastAsia="Times New Roman" w:hAnsi="Verdana" w:cs="Times New Roman"/>
          <w:lang w:eastAsia="en-GB"/>
        </w:rPr>
        <w:t>.</w:t>
      </w:r>
      <w:r w:rsidR="00CF2ECF">
        <w:rPr>
          <w:rFonts w:ascii="Verdana" w:eastAsia="Times New Roman" w:hAnsi="Verdana" w:cs="Times New Roman"/>
          <w:lang w:eastAsia="en-GB"/>
        </w:rPr>
        <w:t xml:space="preserve"> The peer group, </w:t>
      </w:r>
      <w:proofErr w:type="gramStart"/>
      <w:r w:rsidR="00CF2ECF">
        <w:rPr>
          <w:rFonts w:ascii="Verdana" w:eastAsia="Times New Roman" w:hAnsi="Verdana" w:cs="Times New Roman"/>
          <w:lang w:eastAsia="en-GB"/>
        </w:rPr>
        <w:t>with the exception of</w:t>
      </w:r>
      <w:proofErr w:type="gramEnd"/>
      <w:r w:rsidR="00CF2ECF">
        <w:rPr>
          <w:rFonts w:ascii="Verdana" w:eastAsia="Times New Roman" w:hAnsi="Verdana" w:cs="Times New Roman"/>
          <w:lang w:eastAsia="en-GB"/>
        </w:rPr>
        <w:t xml:space="preserve"> three Services, has experienced a decrease in the number of injuries sustained, which may be attributed to the COVID-19 pandemic and the subsequent decline in operational incidents and community activities during the lockdown periods.</w:t>
      </w:r>
      <w:r w:rsidR="009D08F2" w:rsidRPr="00CF2ECF">
        <w:rPr>
          <w:rFonts w:ascii="Verdana" w:hAnsi="Verdana"/>
        </w:rPr>
        <w:t xml:space="preserve"> </w:t>
      </w:r>
    </w:p>
    <w:p w14:paraId="1EEBEE82" w14:textId="5720968F" w:rsidR="002C64BA" w:rsidRPr="00CF2ECF" w:rsidRDefault="004C56BA" w:rsidP="0008069F">
      <w:pPr>
        <w:spacing w:before="240"/>
        <w:rPr>
          <w:rFonts w:ascii="Verdana" w:hAnsi="Verdana"/>
        </w:rPr>
      </w:pPr>
      <w:r w:rsidRPr="00CF2ECF">
        <w:rPr>
          <w:rFonts w:ascii="Verdana" w:hAnsi="Verdana"/>
          <w:b/>
        </w:rPr>
        <w:t xml:space="preserve">Outcome: </w:t>
      </w:r>
      <w:r w:rsidRPr="00CF2ECF">
        <w:rPr>
          <w:rFonts w:ascii="Verdana" w:hAnsi="Verdana"/>
        </w:rPr>
        <w:t>In the</w:t>
      </w:r>
      <w:r w:rsidR="0067629A" w:rsidRPr="00CF2ECF">
        <w:rPr>
          <w:rFonts w:ascii="Verdana" w:hAnsi="Verdana"/>
        </w:rPr>
        <w:t xml:space="preserve"> national</w:t>
      </w:r>
      <w:r w:rsidRPr="00CF2ECF">
        <w:rPr>
          <w:rFonts w:ascii="Verdana" w:hAnsi="Verdana"/>
        </w:rPr>
        <w:t xml:space="preserve"> peer group league </w:t>
      </w:r>
      <w:r w:rsidR="0067629A" w:rsidRPr="00CF2ECF">
        <w:rPr>
          <w:rFonts w:ascii="Verdana" w:hAnsi="Verdana"/>
        </w:rPr>
        <w:t>tables</w:t>
      </w:r>
      <w:r w:rsidR="00356AE3" w:rsidRPr="00CF2ECF">
        <w:rPr>
          <w:rFonts w:ascii="Verdana" w:hAnsi="Verdana"/>
        </w:rPr>
        <w:t xml:space="preserve"> for </w:t>
      </w:r>
      <w:r w:rsidR="00356AE3" w:rsidRPr="00CF2ECF">
        <w:rPr>
          <w:rFonts w:ascii="Verdana" w:hAnsi="Verdana"/>
          <w:i/>
        </w:rPr>
        <w:t>total number of injuries</w:t>
      </w:r>
      <w:r w:rsidR="0067629A" w:rsidRPr="00CF2ECF">
        <w:rPr>
          <w:rFonts w:ascii="Verdana" w:hAnsi="Verdana"/>
        </w:rPr>
        <w:t>,</w:t>
      </w:r>
      <w:r w:rsidRPr="00CF2ECF">
        <w:rPr>
          <w:rFonts w:ascii="Verdana" w:hAnsi="Verdana"/>
        </w:rPr>
        <w:t xml:space="preserve"> BFRS </w:t>
      </w:r>
      <w:r w:rsidR="0067629A" w:rsidRPr="00CF2ECF">
        <w:rPr>
          <w:rFonts w:ascii="Verdana" w:hAnsi="Verdana"/>
        </w:rPr>
        <w:t xml:space="preserve">has moved from </w:t>
      </w:r>
      <w:r w:rsidR="00CF2ECF">
        <w:rPr>
          <w:rFonts w:ascii="Verdana" w:hAnsi="Verdana"/>
        </w:rPr>
        <w:t>fifth position in 2019/20 t</w:t>
      </w:r>
      <w:r w:rsidR="0067629A" w:rsidRPr="00CF2ECF">
        <w:rPr>
          <w:rFonts w:ascii="Verdana" w:hAnsi="Verdana"/>
        </w:rPr>
        <w:t>o</w:t>
      </w:r>
      <w:r w:rsidR="00CF2ECF">
        <w:rPr>
          <w:rFonts w:ascii="Verdana" w:hAnsi="Verdana"/>
        </w:rPr>
        <w:t xml:space="preserve"> third</w:t>
      </w:r>
      <w:r w:rsidR="00213747" w:rsidRPr="00CF2ECF">
        <w:rPr>
          <w:rFonts w:ascii="Verdana" w:hAnsi="Verdana"/>
        </w:rPr>
        <w:t xml:space="preserve"> </w:t>
      </w:r>
      <w:r w:rsidR="0067629A" w:rsidRPr="00CF2ECF">
        <w:rPr>
          <w:rFonts w:ascii="Verdana" w:hAnsi="Verdana"/>
        </w:rPr>
        <w:t>in 20</w:t>
      </w:r>
      <w:r w:rsidR="00CF2ECF">
        <w:rPr>
          <w:rFonts w:ascii="Verdana" w:hAnsi="Verdana"/>
        </w:rPr>
        <w:t>20/21</w:t>
      </w:r>
      <w:r w:rsidR="0067629A" w:rsidRPr="00CF2ECF">
        <w:rPr>
          <w:rFonts w:ascii="Verdana" w:hAnsi="Verdana"/>
        </w:rPr>
        <w:t>.</w:t>
      </w:r>
      <w:r w:rsidR="002C64BA" w:rsidRPr="00CF2ECF">
        <w:rPr>
          <w:rFonts w:ascii="Verdana" w:hAnsi="Verdana"/>
        </w:rPr>
        <w:t xml:space="preserve"> </w:t>
      </w:r>
      <w:r w:rsidR="007C30C8" w:rsidRPr="00CF2ECF">
        <w:rPr>
          <w:rFonts w:ascii="Verdana" w:hAnsi="Verdana"/>
        </w:rPr>
        <w:t xml:space="preserve">For </w:t>
      </w:r>
      <w:r w:rsidR="007C30C8" w:rsidRPr="00ED3ECB">
        <w:rPr>
          <w:rFonts w:ascii="Verdana" w:hAnsi="Verdana"/>
          <w:i/>
          <w:iCs/>
        </w:rPr>
        <w:t>injuries sustained at fires</w:t>
      </w:r>
      <w:r w:rsidR="007C30C8" w:rsidRPr="00CF2ECF">
        <w:rPr>
          <w:rFonts w:ascii="Verdana" w:hAnsi="Verdana"/>
        </w:rPr>
        <w:t xml:space="preserve"> BFRS has moved from </w:t>
      </w:r>
      <w:r w:rsidR="00CF2ECF">
        <w:rPr>
          <w:rFonts w:ascii="Verdana" w:hAnsi="Verdana"/>
        </w:rPr>
        <w:t>third</w:t>
      </w:r>
      <w:r w:rsidR="007C30C8" w:rsidRPr="00CF2ECF">
        <w:rPr>
          <w:rFonts w:ascii="Verdana" w:hAnsi="Verdana"/>
        </w:rPr>
        <w:t xml:space="preserve"> position </w:t>
      </w:r>
      <w:r w:rsidR="00ED3ECB">
        <w:rPr>
          <w:rFonts w:ascii="Verdana" w:hAnsi="Verdana"/>
        </w:rPr>
        <w:t xml:space="preserve">to the top of the table with a reduction of one from five to four injuries. </w:t>
      </w:r>
      <w:r w:rsidR="00ED3ECB" w:rsidRPr="00ED3ECB">
        <w:rPr>
          <w:rFonts w:ascii="Verdana" w:hAnsi="Verdana"/>
          <w:i/>
          <w:iCs/>
        </w:rPr>
        <w:t>F</w:t>
      </w:r>
      <w:r w:rsidR="007C30C8" w:rsidRPr="00ED3ECB">
        <w:rPr>
          <w:rFonts w:ascii="Verdana" w:hAnsi="Verdana"/>
          <w:i/>
          <w:iCs/>
        </w:rPr>
        <w:t>or injuries sustained at special service calls</w:t>
      </w:r>
      <w:r w:rsidR="007C30C8" w:rsidRPr="00CF2ECF">
        <w:rPr>
          <w:rFonts w:ascii="Verdana" w:hAnsi="Verdana"/>
        </w:rPr>
        <w:t xml:space="preserve"> BFRS </w:t>
      </w:r>
      <w:r w:rsidR="00ED3ECB">
        <w:rPr>
          <w:rFonts w:ascii="Verdana" w:hAnsi="Verdana"/>
        </w:rPr>
        <w:t xml:space="preserve">experienced a decrease from two to zero </w:t>
      </w:r>
      <w:r w:rsidR="007C30C8" w:rsidRPr="00CF2ECF">
        <w:rPr>
          <w:rFonts w:ascii="Verdana" w:hAnsi="Verdana"/>
        </w:rPr>
        <w:t>retain</w:t>
      </w:r>
      <w:r w:rsidR="00ED3ECB">
        <w:rPr>
          <w:rFonts w:ascii="Verdana" w:hAnsi="Verdana"/>
        </w:rPr>
        <w:t xml:space="preserve">ing </w:t>
      </w:r>
      <w:r w:rsidR="007C30C8" w:rsidRPr="00CF2ECF">
        <w:rPr>
          <w:rFonts w:ascii="Verdana" w:hAnsi="Verdana"/>
        </w:rPr>
        <w:t xml:space="preserve">the top position. </w:t>
      </w:r>
    </w:p>
    <w:p w14:paraId="5C29B629" w14:textId="7967E5DF" w:rsidR="00997E02" w:rsidRPr="00CF2ECF" w:rsidRDefault="00220433" w:rsidP="0008069F">
      <w:pPr>
        <w:spacing w:after="0"/>
        <w:rPr>
          <w:rFonts w:ascii="Verdana" w:eastAsia="Times New Roman" w:hAnsi="Verdana" w:cs="Times New Roman"/>
          <w:lang w:eastAsia="en-GB"/>
        </w:rPr>
      </w:pPr>
      <w:r w:rsidRPr="00CF2ECF">
        <w:rPr>
          <w:rFonts w:ascii="Verdana" w:eastAsia="Times New Roman" w:hAnsi="Verdana" w:cs="Times New Roman"/>
          <w:b/>
          <w:lang w:eastAsia="en-GB"/>
        </w:rPr>
        <w:t>HS2-</w:t>
      </w:r>
      <w:r w:rsidR="0072600F" w:rsidRPr="00CF2ECF">
        <w:rPr>
          <w:rFonts w:ascii="Verdana" w:eastAsia="Times New Roman" w:hAnsi="Verdana" w:cs="Times New Roman"/>
          <w:b/>
          <w:lang w:eastAsia="en-GB"/>
        </w:rPr>
        <w:t xml:space="preserve"> </w:t>
      </w:r>
      <w:r w:rsidR="0072600F" w:rsidRPr="00D107B7">
        <w:rPr>
          <w:rFonts w:ascii="Verdana" w:eastAsia="Times New Roman" w:hAnsi="Verdana" w:cs="Times New Roman"/>
          <w:i/>
          <w:iCs/>
          <w:lang w:eastAsia="en-GB"/>
        </w:rPr>
        <w:t>Injuries at training events</w:t>
      </w:r>
      <w:r w:rsidR="0072600F" w:rsidRPr="00CF2ECF">
        <w:rPr>
          <w:rFonts w:ascii="Verdana" w:eastAsia="Times New Roman" w:hAnsi="Verdana" w:cs="Times New Roman"/>
          <w:lang w:eastAsia="en-GB"/>
        </w:rPr>
        <w:t xml:space="preserve"> have seen a</w:t>
      </w:r>
      <w:r w:rsidR="00454447">
        <w:rPr>
          <w:rFonts w:ascii="Verdana" w:eastAsia="Times New Roman" w:hAnsi="Verdana" w:cs="Times New Roman"/>
          <w:lang w:eastAsia="en-GB"/>
        </w:rPr>
        <w:t xml:space="preserve"> decrease of three from 20 in 2019/20 to 17 in 2020/21</w:t>
      </w:r>
      <w:r w:rsidR="007C30C8" w:rsidRPr="00CF2ECF">
        <w:rPr>
          <w:rFonts w:ascii="Verdana" w:eastAsia="Times New Roman" w:hAnsi="Verdana" w:cs="Times New Roman"/>
          <w:lang w:eastAsia="en-GB"/>
        </w:rPr>
        <w:t>.</w:t>
      </w:r>
      <w:r w:rsidR="00D05FCA" w:rsidRPr="00CF2ECF">
        <w:rPr>
          <w:rFonts w:ascii="Verdana" w:eastAsia="Times New Roman" w:hAnsi="Verdana" w:cs="Times New Roman"/>
          <w:lang w:eastAsia="en-GB"/>
        </w:rPr>
        <w:t xml:space="preserve"> </w:t>
      </w:r>
      <w:r w:rsidR="007C30C8" w:rsidRPr="00D107B7">
        <w:rPr>
          <w:rFonts w:ascii="Verdana" w:eastAsia="Times New Roman" w:hAnsi="Verdana" w:cs="Times New Roman"/>
          <w:i/>
          <w:iCs/>
          <w:lang w:eastAsia="en-GB"/>
        </w:rPr>
        <w:t>I</w:t>
      </w:r>
      <w:r w:rsidR="00D05FCA" w:rsidRPr="00D107B7">
        <w:rPr>
          <w:rFonts w:ascii="Verdana" w:eastAsia="Times New Roman" w:hAnsi="Verdana" w:cs="Times New Roman"/>
          <w:i/>
          <w:iCs/>
          <w:lang w:eastAsia="en-GB"/>
        </w:rPr>
        <w:t xml:space="preserve">njuries </w:t>
      </w:r>
      <w:r w:rsidR="007C30C8" w:rsidRPr="00D107B7">
        <w:rPr>
          <w:rFonts w:ascii="Verdana" w:eastAsia="Times New Roman" w:hAnsi="Verdana" w:cs="Times New Roman"/>
          <w:i/>
          <w:iCs/>
          <w:lang w:eastAsia="en-GB"/>
        </w:rPr>
        <w:t xml:space="preserve">sustained </w:t>
      </w:r>
      <w:r w:rsidR="00D05FCA" w:rsidRPr="00D107B7">
        <w:rPr>
          <w:rFonts w:ascii="Verdana" w:eastAsia="Times New Roman" w:hAnsi="Verdana" w:cs="Times New Roman"/>
          <w:i/>
          <w:iCs/>
          <w:lang w:eastAsia="en-GB"/>
        </w:rPr>
        <w:t>during routine activities</w:t>
      </w:r>
      <w:r w:rsidR="00D05FCA" w:rsidRPr="00CF2ECF">
        <w:rPr>
          <w:rFonts w:ascii="Verdana" w:eastAsia="Times New Roman" w:hAnsi="Verdana" w:cs="Times New Roman"/>
          <w:lang w:eastAsia="en-GB"/>
        </w:rPr>
        <w:t xml:space="preserve"> has </w:t>
      </w:r>
      <w:r w:rsidR="00731F5A" w:rsidRPr="00CF2ECF">
        <w:rPr>
          <w:rFonts w:ascii="Verdana" w:eastAsia="Times New Roman" w:hAnsi="Verdana" w:cs="Times New Roman"/>
          <w:lang w:eastAsia="en-GB"/>
        </w:rPr>
        <w:t>seen a</w:t>
      </w:r>
      <w:r w:rsidR="00454447">
        <w:rPr>
          <w:rFonts w:ascii="Verdana" w:eastAsia="Times New Roman" w:hAnsi="Verdana" w:cs="Times New Roman"/>
          <w:lang w:eastAsia="en-GB"/>
        </w:rPr>
        <w:t xml:space="preserve"> decrease of eight from 11 in 2019/20 to </w:t>
      </w:r>
      <w:r w:rsidR="004064AB">
        <w:rPr>
          <w:rFonts w:ascii="Verdana" w:eastAsia="Times New Roman" w:hAnsi="Verdana" w:cs="Times New Roman"/>
          <w:lang w:eastAsia="en-GB"/>
        </w:rPr>
        <w:t>three in 2020/21</w:t>
      </w:r>
      <w:r w:rsidR="00731F5A" w:rsidRPr="00CF2ECF">
        <w:rPr>
          <w:rFonts w:ascii="Verdana" w:eastAsia="Times New Roman" w:hAnsi="Verdana" w:cs="Times New Roman"/>
          <w:lang w:eastAsia="en-GB"/>
        </w:rPr>
        <w:t xml:space="preserve">. </w:t>
      </w:r>
    </w:p>
    <w:p w14:paraId="473E20EE" w14:textId="77777777" w:rsidR="00B476F1" w:rsidRPr="00CF2ECF" w:rsidRDefault="00B476F1" w:rsidP="00B476F1">
      <w:pPr>
        <w:spacing w:after="0"/>
        <w:ind w:left="720"/>
        <w:rPr>
          <w:rFonts w:ascii="Verdana" w:eastAsia="Times New Roman" w:hAnsi="Verdana" w:cs="Times New Roman"/>
          <w:lang w:eastAsia="en-GB"/>
        </w:rPr>
      </w:pPr>
    </w:p>
    <w:p w14:paraId="358222BA" w14:textId="3A5878B2" w:rsidR="000C5735" w:rsidRPr="00CF2ECF" w:rsidRDefault="0067629A" w:rsidP="0008069F">
      <w:pPr>
        <w:rPr>
          <w:rFonts w:ascii="Verdana" w:eastAsia="Times New Roman" w:hAnsi="Verdana" w:cs="Times New Roman"/>
          <w:lang w:eastAsia="en-GB"/>
        </w:rPr>
      </w:pPr>
      <w:r w:rsidRPr="00CF2ECF">
        <w:rPr>
          <w:rFonts w:ascii="Verdana" w:eastAsia="Times New Roman" w:hAnsi="Verdana" w:cs="Times New Roman"/>
          <w:b/>
          <w:lang w:eastAsia="en-GB"/>
        </w:rPr>
        <w:t>Outcome:</w:t>
      </w:r>
      <w:r w:rsidR="00865342" w:rsidRPr="00CF2ECF">
        <w:rPr>
          <w:rFonts w:ascii="Verdana" w:eastAsia="Times New Roman" w:hAnsi="Verdana" w:cs="Times New Roman"/>
          <w:lang w:eastAsia="en-GB"/>
        </w:rPr>
        <w:t xml:space="preserve"> </w:t>
      </w:r>
      <w:r w:rsidRPr="00CF2ECF">
        <w:rPr>
          <w:rFonts w:ascii="Verdana" w:eastAsia="Times New Roman" w:hAnsi="Verdana" w:cs="Times New Roman"/>
          <w:lang w:eastAsia="en-GB"/>
        </w:rPr>
        <w:t xml:space="preserve">BFRS’s position in the peer group table for </w:t>
      </w:r>
      <w:r w:rsidRPr="00D107B7">
        <w:rPr>
          <w:rFonts w:ascii="Verdana" w:eastAsia="Times New Roman" w:hAnsi="Verdana" w:cs="Times New Roman"/>
          <w:i/>
          <w:iCs/>
          <w:lang w:eastAsia="en-GB"/>
        </w:rPr>
        <w:t>injuries at training events</w:t>
      </w:r>
      <w:r w:rsidRPr="00CF2ECF">
        <w:rPr>
          <w:rFonts w:ascii="Verdana" w:eastAsia="Times New Roman" w:hAnsi="Verdana" w:cs="Times New Roman"/>
          <w:lang w:eastAsia="en-GB"/>
        </w:rPr>
        <w:t xml:space="preserve"> </w:t>
      </w:r>
      <w:r w:rsidR="007C30C8" w:rsidRPr="00CF2ECF">
        <w:rPr>
          <w:rFonts w:ascii="Verdana" w:eastAsia="Times New Roman" w:hAnsi="Verdana" w:cs="Times New Roman"/>
          <w:lang w:eastAsia="en-GB"/>
        </w:rPr>
        <w:t xml:space="preserve">has moved from </w:t>
      </w:r>
      <w:r w:rsidR="00454447">
        <w:rPr>
          <w:rFonts w:ascii="Verdana" w:eastAsia="Times New Roman" w:hAnsi="Verdana" w:cs="Times New Roman"/>
          <w:lang w:eastAsia="en-GB"/>
        </w:rPr>
        <w:t>sixth</w:t>
      </w:r>
      <w:r w:rsidR="007C30C8" w:rsidRPr="00CF2ECF">
        <w:rPr>
          <w:rFonts w:ascii="Verdana" w:eastAsia="Times New Roman" w:hAnsi="Verdana" w:cs="Times New Roman"/>
          <w:lang w:eastAsia="en-GB"/>
        </w:rPr>
        <w:t xml:space="preserve"> place to </w:t>
      </w:r>
      <w:r w:rsidR="00454447">
        <w:rPr>
          <w:rFonts w:ascii="Verdana" w:eastAsia="Times New Roman" w:hAnsi="Verdana" w:cs="Times New Roman"/>
          <w:lang w:eastAsia="en-GB"/>
        </w:rPr>
        <w:t>eighth which is disappointing however</w:t>
      </w:r>
      <w:r w:rsidR="00D107B7">
        <w:rPr>
          <w:rFonts w:ascii="Verdana" w:eastAsia="Times New Roman" w:hAnsi="Verdana" w:cs="Times New Roman"/>
          <w:lang w:eastAsia="en-GB"/>
        </w:rPr>
        <w:t>,</w:t>
      </w:r>
      <w:r w:rsidR="00454447">
        <w:rPr>
          <w:rFonts w:ascii="Verdana" w:eastAsia="Times New Roman" w:hAnsi="Verdana" w:cs="Times New Roman"/>
          <w:lang w:eastAsia="en-GB"/>
        </w:rPr>
        <w:t xml:space="preserve"> likely due to the increase in “on station” training activities that took place during the </w:t>
      </w:r>
      <w:r w:rsidR="00454447">
        <w:rPr>
          <w:rFonts w:ascii="Verdana" w:eastAsia="Times New Roman" w:hAnsi="Verdana" w:cs="Times New Roman"/>
          <w:lang w:eastAsia="en-GB"/>
        </w:rPr>
        <w:lastRenderedPageBreak/>
        <w:t>lockdown periods. F</w:t>
      </w:r>
      <w:r w:rsidR="007C30C8" w:rsidRPr="00CF2ECF">
        <w:rPr>
          <w:rFonts w:ascii="Verdana" w:eastAsia="Times New Roman" w:hAnsi="Verdana" w:cs="Times New Roman"/>
          <w:lang w:eastAsia="en-GB"/>
        </w:rPr>
        <w:t>o</w:t>
      </w:r>
      <w:r w:rsidRPr="00CF2ECF">
        <w:rPr>
          <w:rFonts w:ascii="Verdana" w:eastAsia="Times New Roman" w:hAnsi="Verdana" w:cs="Times New Roman"/>
          <w:lang w:eastAsia="en-GB"/>
        </w:rPr>
        <w:t xml:space="preserve">r </w:t>
      </w:r>
      <w:r w:rsidRPr="00D107B7">
        <w:rPr>
          <w:rFonts w:ascii="Verdana" w:eastAsia="Times New Roman" w:hAnsi="Verdana" w:cs="Times New Roman"/>
          <w:i/>
          <w:iCs/>
          <w:lang w:eastAsia="en-GB"/>
        </w:rPr>
        <w:t xml:space="preserve">injuries during routine </w:t>
      </w:r>
      <w:r w:rsidR="00616932" w:rsidRPr="00D107B7">
        <w:rPr>
          <w:rFonts w:ascii="Verdana" w:eastAsia="Times New Roman" w:hAnsi="Verdana" w:cs="Times New Roman"/>
          <w:i/>
          <w:iCs/>
          <w:lang w:eastAsia="en-GB"/>
        </w:rPr>
        <w:t>activities</w:t>
      </w:r>
      <w:r w:rsidR="00616932" w:rsidRPr="00CF2ECF">
        <w:rPr>
          <w:rFonts w:ascii="Verdana" w:eastAsia="Times New Roman" w:hAnsi="Verdana" w:cs="Times New Roman"/>
          <w:lang w:eastAsia="en-GB"/>
        </w:rPr>
        <w:t>,</w:t>
      </w:r>
      <w:r w:rsidRPr="00CF2ECF">
        <w:rPr>
          <w:rFonts w:ascii="Verdana" w:eastAsia="Times New Roman" w:hAnsi="Verdana" w:cs="Times New Roman"/>
          <w:lang w:eastAsia="en-GB"/>
        </w:rPr>
        <w:t xml:space="preserve"> BFRS has </w:t>
      </w:r>
      <w:r w:rsidR="004064AB">
        <w:rPr>
          <w:rFonts w:ascii="Verdana" w:eastAsia="Times New Roman" w:hAnsi="Verdana" w:cs="Times New Roman"/>
          <w:lang w:eastAsia="en-GB"/>
        </w:rPr>
        <w:t xml:space="preserve">moved up the league table to second </w:t>
      </w:r>
      <w:r w:rsidR="007C30C8" w:rsidRPr="00CF2ECF">
        <w:rPr>
          <w:rFonts w:ascii="Verdana" w:eastAsia="Times New Roman" w:hAnsi="Verdana" w:cs="Times New Roman"/>
          <w:lang w:eastAsia="en-GB"/>
        </w:rPr>
        <w:t>position.</w:t>
      </w:r>
    </w:p>
    <w:p w14:paraId="5C7B125C" w14:textId="0A0FF8BB" w:rsidR="0067629A" w:rsidRPr="00CF2ECF" w:rsidRDefault="000C5735" w:rsidP="00E46900">
      <w:pPr>
        <w:rPr>
          <w:rFonts w:ascii="Verdana" w:hAnsi="Verdana"/>
        </w:rPr>
      </w:pPr>
      <w:r w:rsidRPr="00CF2ECF">
        <w:rPr>
          <w:rFonts w:ascii="Verdana" w:eastAsia="Times New Roman" w:hAnsi="Verdana" w:cs="Times New Roman"/>
          <w:lang w:eastAsia="en-GB"/>
        </w:rPr>
        <w:t xml:space="preserve">Overall, </w:t>
      </w:r>
      <w:r w:rsidR="00E46900" w:rsidRPr="00CF2ECF">
        <w:rPr>
          <w:rFonts w:ascii="Verdana" w:eastAsia="Times New Roman" w:hAnsi="Verdana" w:cs="Times New Roman"/>
          <w:lang w:eastAsia="en-GB"/>
        </w:rPr>
        <w:t xml:space="preserve">of the seven categories, the number of injuries sustained to firefighters has </w:t>
      </w:r>
      <w:r w:rsidR="00D107B7">
        <w:rPr>
          <w:rFonts w:ascii="Verdana" w:eastAsia="Times New Roman" w:hAnsi="Verdana" w:cs="Times New Roman"/>
          <w:lang w:eastAsia="en-GB"/>
        </w:rPr>
        <w:t xml:space="preserve">decreased in </w:t>
      </w:r>
      <w:r w:rsidR="008D6DEA">
        <w:rPr>
          <w:rFonts w:ascii="Verdana" w:eastAsia="Times New Roman" w:hAnsi="Verdana" w:cs="Times New Roman"/>
          <w:lang w:eastAsia="en-GB"/>
        </w:rPr>
        <w:t>six and</w:t>
      </w:r>
      <w:r w:rsidR="00D107B7">
        <w:rPr>
          <w:rFonts w:ascii="Verdana" w:eastAsia="Times New Roman" w:hAnsi="Verdana" w:cs="Times New Roman"/>
          <w:lang w:eastAsia="en-GB"/>
        </w:rPr>
        <w:t xml:space="preserve"> remained the same in one which is a significant improvement on the previous year.</w:t>
      </w:r>
    </w:p>
    <w:p w14:paraId="0E434F2E" w14:textId="77777777" w:rsidR="008D6DEA" w:rsidRDefault="00616932" w:rsidP="00E11BDE">
      <w:pPr>
        <w:rPr>
          <w:rFonts w:ascii="Verdana" w:eastAsia="Times New Roman" w:hAnsi="Verdana" w:cs="Times New Roman"/>
          <w:lang w:eastAsia="en-GB"/>
        </w:rPr>
      </w:pPr>
      <w:r w:rsidRPr="00CF2ECF">
        <w:rPr>
          <w:rFonts w:ascii="Verdana" w:eastAsia="Times New Roman" w:hAnsi="Verdana" w:cs="Times New Roman"/>
          <w:lang w:eastAsia="en-GB"/>
        </w:rPr>
        <w:t>Below</w:t>
      </w:r>
      <w:r w:rsidR="00D05FCA" w:rsidRPr="00CF2ECF">
        <w:rPr>
          <w:rFonts w:ascii="Verdana" w:eastAsia="Times New Roman" w:hAnsi="Verdana" w:cs="Times New Roman"/>
          <w:lang w:eastAsia="en-GB"/>
        </w:rPr>
        <w:t xml:space="preserve"> are the </w:t>
      </w:r>
      <w:r w:rsidRPr="00CF2ECF">
        <w:rPr>
          <w:rFonts w:ascii="Verdana" w:eastAsia="Times New Roman" w:hAnsi="Verdana" w:cs="Times New Roman"/>
          <w:lang w:eastAsia="en-GB"/>
        </w:rPr>
        <w:t xml:space="preserve">national </w:t>
      </w:r>
      <w:r w:rsidR="00D05FCA" w:rsidRPr="00CF2ECF">
        <w:rPr>
          <w:rFonts w:ascii="Verdana" w:eastAsia="Times New Roman" w:hAnsi="Verdana" w:cs="Times New Roman"/>
          <w:lang w:eastAsia="en-GB"/>
        </w:rPr>
        <w:t xml:space="preserve">league tables which provide a visual </w:t>
      </w:r>
      <w:r w:rsidR="008D6DEA">
        <w:rPr>
          <w:rFonts w:ascii="Verdana" w:eastAsia="Times New Roman" w:hAnsi="Verdana" w:cs="Times New Roman"/>
          <w:lang w:eastAsia="en-GB"/>
        </w:rPr>
        <w:t>image</w:t>
      </w:r>
      <w:r w:rsidR="00D05FCA" w:rsidRPr="00CF2ECF">
        <w:rPr>
          <w:rFonts w:ascii="Verdana" w:eastAsia="Times New Roman" w:hAnsi="Verdana" w:cs="Times New Roman"/>
          <w:lang w:eastAsia="en-GB"/>
        </w:rPr>
        <w:t xml:space="preserve"> of the overall safety performance of BFRS in the operational arena</w:t>
      </w:r>
      <w:r w:rsidR="004D2796" w:rsidRPr="00CF2ECF">
        <w:rPr>
          <w:rFonts w:ascii="Verdana" w:eastAsia="Times New Roman" w:hAnsi="Verdana" w:cs="Times New Roman"/>
          <w:lang w:eastAsia="en-GB"/>
        </w:rPr>
        <w:t xml:space="preserve"> compared to their peer group</w:t>
      </w:r>
      <w:r w:rsidR="00D05FCA" w:rsidRPr="00CF2ECF">
        <w:rPr>
          <w:rFonts w:ascii="Verdana" w:eastAsia="Times New Roman" w:hAnsi="Verdana" w:cs="Times New Roman"/>
          <w:lang w:eastAsia="en-GB"/>
        </w:rPr>
        <w:t xml:space="preserve">. </w:t>
      </w:r>
      <w:r w:rsidR="008D6DEA">
        <w:rPr>
          <w:rFonts w:ascii="Verdana" w:eastAsia="Times New Roman" w:hAnsi="Verdana" w:cs="Times New Roman"/>
          <w:lang w:eastAsia="en-GB"/>
        </w:rPr>
        <w:t xml:space="preserve">BFRS hold the top position in three of the seven categories; are in the top three of three and is eighth in one – a solid performance which is further evidence of the strong and positive health and safety culture alive within the Service. </w:t>
      </w:r>
    </w:p>
    <w:p w14:paraId="6898ABEF" w14:textId="14A80E8F" w:rsidR="00B16C5C" w:rsidRDefault="008D6DEA" w:rsidP="00E11BDE">
      <w:pPr>
        <w:rPr>
          <w:rFonts w:ascii="Verdana" w:eastAsia="Times New Roman" w:hAnsi="Verdana" w:cs="Times New Roman"/>
          <w:lang w:eastAsia="en-GB"/>
        </w:rPr>
      </w:pPr>
      <w:r>
        <w:rPr>
          <w:rFonts w:ascii="Verdana" w:eastAsia="Times New Roman" w:hAnsi="Verdana" w:cs="Times New Roman"/>
          <w:lang w:eastAsia="en-GB"/>
        </w:rPr>
        <w:t>A det</w:t>
      </w:r>
      <w:r w:rsidR="00616932" w:rsidRPr="00CF2ECF">
        <w:rPr>
          <w:rFonts w:ascii="Verdana" w:eastAsia="Times New Roman" w:hAnsi="Verdana" w:cs="Times New Roman"/>
          <w:lang w:eastAsia="en-GB"/>
        </w:rPr>
        <w:t>ailed</w:t>
      </w:r>
      <w:r w:rsidR="00D05FCA" w:rsidRPr="00CF2ECF">
        <w:rPr>
          <w:rFonts w:ascii="Verdana" w:eastAsia="Times New Roman" w:hAnsi="Verdana" w:cs="Times New Roman"/>
          <w:lang w:eastAsia="en-GB"/>
        </w:rPr>
        <w:t xml:space="preserve"> explanation of performance can be found in the Performance Overview section of the report on page six.</w:t>
      </w:r>
    </w:p>
    <w:p w14:paraId="378D8DFE" w14:textId="77777777" w:rsidR="00E11BDE" w:rsidRPr="00E11BDE" w:rsidRDefault="00E11BDE" w:rsidP="00E11BDE">
      <w:pPr>
        <w:rPr>
          <w:rFonts w:ascii="Verdana" w:eastAsia="Times New Roman" w:hAnsi="Verdana" w:cs="Times New Roman"/>
          <w:lang w:eastAsia="en-GB"/>
        </w:rPr>
      </w:pPr>
    </w:p>
    <w:tbl>
      <w:tblPr>
        <w:tblW w:w="5300" w:type="dxa"/>
        <w:tblLook w:val="04A0" w:firstRow="1" w:lastRow="0" w:firstColumn="1" w:lastColumn="0" w:noHBand="0" w:noVBand="1"/>
      </w:tblPr>
      <w:tblGrid>
        <w:gridCol w:w="2358"/>
        <w:gridCol w:w="1442"/>
        <w:gridCol w:w="1500"/>
      </w:tblGrid>
      <w:tr w:rsidR="00156088" w:rsidRPr="00B50CFB" w14:paraId="3D540B8A" w14:textId="77777777" w:rsidTr="00BD5A32">
        <w:trPr>
          <w:trHeight w:val="585"/>
        </w:trPr>
        <w:tc>
          <w:tcPr>
            <w:tcW w:w="2358" w:type="dxa"/>
            <w:tcBorders>
              <w:top w:val="single" w:sz="8" w:space="0" w:color="auto"/>
              <w:left w:val="single" w:sz="8" w:space="0" w:color="auto"/>
              <w:bottom w:val="single" w:sz="8" w:space="0" w:color="auto"/>
              <w:right w:val="single" w:sz="8" w:space="0" w:color="auto"/>
            </w:tcBorders>
            <w:shd w:val="clear" w:color="auto" w:fill="C5E0B3" w:themeFill="accent6" w:themeFillTint="66"/>
            <w:hideMark/>
          </w:tcPr>
          <w:p w14:paraId="091D41E4" w14:textId="77777777" w:rsidR="00432A8D" w:rsidRPr="00884D80" w:rsidRDefault="00432A8D" w:rsidP="00432A8D">
            <w:pPr>
              <w:spacing w:after="0" w:line="240" w:lineRule="auto"/>
              <w:rPr>
                <w:rFonts w:ascii="Verdana" w:eastAsia="Times New Roman" w:hAnsi="Verdana" w:cs="Calibri"/>
                <w:b/>
                <w:bCs/>
                <w:color w:val="000000"/>
                <w:lang w:eastAsia="en-GB"/>
              </w:rPr>
            </w:pPr>
            <w:r w:rsidRPr="00884D80">
              <w:rPr>
                <w:rFonts w:ascii="Verdana" w:eastAsia="Times New Roman" w:hAnsi="Verdana" w:cs="Calibri"/>
                <w:b/>
                <w:bCs/>
                <w:color w:val="000000"/>
                <w:lang w:eastAsia="en-GB"/>
              </w:rPr>
              <w:t xml:space="preserve">Total </w:t>
            </w:r>
            <w:r w:rsidR="00E11968">
              <w:rPr>
                <w:rFonts w:ascii="Verdana" w:eastAsia="Times New Roman" w:hAnsi="Verdana" w:cs="Calibri"/>
                <w:b/>
                <w:bCs/>
                <w:color w:val="000000"/>
                <w:lang w:eastAsia="en-GB"/>
              </w:rPr>
              <w:t>n</w:t>
            </w:r>
            <w:r w:rsidRPr="00884D80">
              <w:rPr>
                <w:rFonts w:ascii="Verdana" w:eastAsia="Times New Roman" w:hAnsi="Verdana" w:cs="Calibri"/>
                <w:b/>
                <w:bCs/>
                <w:color w:val="000000"/>
                <w:lang w:eastAsia="en-GB"/>
              </w:rPr>
              <w:t xml:space="preserve">umber of </w:t>
            </w:r>
            <w:r w:rsidR="00E11968">
              <w:rPr>
                <w:rFonts w:ascii="Verdana" w:eastAsia="Times New Roman" w:hAnsi="Verdana" w:cs="Calibri"/>
                <w:b/>
                <w:bCs/>
                <w:color w:val="000000"/>
                <w:lang w:eastAsia="en-GB"/>
              </w:rPr>
              <w:t>p</w:t>
            </w:r>
            <w:r w:rsidRPr="00884D80">
              <w:rPr>
                <w:rFonts w:ascii="Verdana" w:eastAsia="Times New Roman" w:hAnsi="Verdana" w:cs="Calibri"/>
                <w:b/>
                <w:bCs/>
                <w:color w:val="000000"/>
                <w:lang w:eastAsia="en-GB"/>
              </w:rPr>
              <w:t xml:space="preserve">ersons </w:t>
            </w:r>
            <w:r w:rsidR="00E11968">
              <w:rPr>
                <w:rFonts w:ascii="Verdana" w:eastAsia="Times New Roman" w:hAnsi="Verdana" w:cs="Calibri"/>
                <w:b/>
                <w:bCs/>
                <w:color w:val="000000"/>
                <w:lang w:eastAsia="en-GB"/>
              </w:rPr>
              <w:t>i</w:t>
            </w:r>
            <w:r w:rsidRPr="00884D80">
              <w:rPr>
                <w:rFonts w:ascii="Verdana" w:eastAsia="Times New Roman" w:hAnsi="Verdana" w:cs="Calibri"/>
                <w:b/>
                <w:bCs/>
                <w:color w:val="000000"/>
                <w:lang w:eastAsia="en-GB"/>
              </w:rPr>
              <w:t>njured</w:t>
            </w:r>
          </w:p>
        </w:tc>
        <w:tc>
          <w:tcPr>
            <w:tcW w:w="1442" w:type="dxa"/>
            <w:tcBorders>
              <w:top w:val="single" w:sz="8" w:space="0" w:color="auto"/>
              <w:left w:val="nil"/>
              <w:bottom w:val="single" w:sz="8" w:space="0" w:color="auto"/>
              <w:right w:val="single" w:sz="8" w:space="0" w:color="auto"/>
            </w:tcBorders>
            <w:shd w:val="clear" w:color="auto" w:fill="C5E0B3" w:themeFill="accent6" w:themeFillTint="66"/>
            <w:hideMark/>
          </w:tcPr>
          <w:p w14:paraId="42757F20" w14:textId="18A23D55" w:rsidR="00432A8D" w:rsidRPr="00884D80" w:rsidRDefault="00432A8D" w:rsidP="00432A8D">
            <w:pPr>
              <w:spacing w:after="0" w:line="240" w:lineRule="auto"/>
              <w:rPr>
                <w:rFonts w:ascii="Verdana" w:eastAsia="Times New Roman" w:hAnsi="Verdana" w:cs="Calibri"/>
                <w:b/>
                <w:bCs/>
                <w:color w:val="000000"/>
                <w:lang w:eastAsia="en-GB"/>
              </w:rPr>
            </w:pPr>
            <w:r w:rsidRPr="00884D80">
              <w:rPr>
                <w:rFonts w:ascii="Verdana" w:eastAsia="Times New Roman" w:hAnsi="Verdana" w:cs="Calibri"/>
                <w:b/>
                <w:bCs/>
                <w:color w:val="000000"/>
                <w:lang w:eastAsia="en-GB"/>
              </w:rPr>
              <w:t>201</w:t>
            </w:r>
            <w:r w:rsidR="00156088">
              <w:rPr>
                <w:rFonts w:ascii="Verdana" w:eastAsia="Times New Roman" w:hAnsi="Verdana" w:cs="Calibri"/>
                <w:b/>
                <w:bCs/>
                <w:color w:val="000000"/>
                <w:lang w:eastAsia="en-GB"/>
              </w:rPr>
              <w:t>9</w:t>
            </w:r>
            <w:r w:rsidRPr="00884D80">
              <w:rPr>
                <w:rFonts w:ascii="Verdana" w:eastAsia="Times New Roman" w:hAnsi="Verdana" w:cs="Calibri"/>
                <w:b/>
                <w:bCs/>
                <w:color w:val="000000"/>
                <w:lang w:eastAsia="en-GB"/>
              </w:rPr>
              <w:t>-</w:t>
            </w:r>
            <w:r w:rsidR="00156088">
              <w:rPr>
                <w:rFonts w:ascii="Verdana" w:eastAsia="Times New Roman" w:hAnsi="Verdana" w:cs="Calibri"/>
                <w:b/>
                <w:bCs/>
                <w:color w:val="000000"/>
                <w:lang w:eastAsia="en-GB"/>
              </w:rPr>
              <w:t>20</w:t>
            </w:r>
          </w:p>
        </w:tc>
        <w:tc>
          <w:tcPr>
            <w:tcW w:w="1500" w:type="dxa"/>
            <w:tcBorders>
              <w:top w:val="single" w:sz="4" w:space="0" w:color="auto"/>
              <w:left w:val="nil"/>
              <w:bottom w:val="single" w:sz="8" w:space="0" w:color="auto"/>
              <w:right w:val="single" w:sz="8" w:space="0" w:color="auto"/>
            </w:tcBorders>
            <w:shd w:val="clear" w:color="auto" w:fill="C5E0B3" w:themeFill="accent6" w:themeFillTint="66"/>
            <w:hideMark/>
          </w:tcPr>
          <w:p w14:paraId="309ACA6A" w14:textId="7F915611" w:rsidR="00432A8D" w:rsidRPr="00884D80" w:rsidRDefault="00432A8D" w:rsidP="00432A8D">
            <w:pPr>
              <w:spacing w:after="0" w:line="240" w:lineRule="auto"/>
              <w:rPr>
                <w:rFonts w:ascii="Verdana" w:eastAsia="Times New Roman" w:hAnsi="Verdana" w:cs="Calibri"/>
                <w:b/>
                <w:bCs/>
                <w:color w:val="000000"/>
                <w:lang w:eastAsia="en-GB"/>
              </w:rPr>
            </w:pPr>
            <w:r w:rsidRPr="00884D80">
              <w:rPr>
                <w:rFonts w:ascii="Verdana" w:eastAsia="Times New Roman" w:hAnsi="Verdana" w:cs="Calibri"/>
                <w:b/>
                <w:bCs/>
                <w:color w:val="000000"/>
                <w:lang w:eastAsia="en-GB"/>
              </w:rPr>
              <w:t>20</w:t>
            </w:r>
            <w:r w:rsidR="00156088">
              <w:rPr>
                <w:rFonts w:ascii="Verdana" w:eastAsia="Times New Roman" w:hAnsi="Verdana" w:cs="Calibri"/>
                <w:b/>
                <w:bCs/>
                <w:color w:val="000000"/>
                <w:lang w:eastAsia="en-GB"/>
              </w:rPr>
              <w:t>20</w:t>
            </w:r>
            <w:r w:rsidRPr="00884D80">
              <w:rPr>
                <w:rFonts w:ascii="Verdana" w:eastAsia="Times New Roman" w:hAnsi="Verdana" w:cs="Calibri"/>
                <w:b/>
                <w:bCs/>
                <w:color w:val="000000"/>
                <w:lang w:eastAsia="en-GB"/>
              </w:rPr>
              <w:t>-</w:t>
            </w:r>
            <w:r w:rsidR="000A0DAF">
              <w:rPr>
                <w:rFonts w:ascii="Verdana" w:eastAsia="Times New Roman" w:hAnsi="Verdana" w:cs="Calibri"/>
                <w:b/>
                <w:bCs/>
                <w:color w:val="000000"/>
                <w:lang w:eastAsia="en-GB"/>
              </w:rPr>
              <w:t>2</w:t>
            </w:r>
            <w:r w:rsidR="00156088">
              <w:rPr>
                <w:rFonts w:ascii="Verdana" w:eastAsia="Times New Roman" w:hAnsi="Verdana" w:cs="Calibri"/>
                <w:b/>
                <w:bCs/>
                <w:color w:val="000000"/>
                <w:lang w:eastAsia="en-GB"/>
              </w:rPr>
              <w:t>1</w:t>
            </w:r>
          </w:p>
        </w:tc>
      </w:tr>
      <w:tr w:rsidR="00156088" w:rsidRPr="00B50CFB" w14:paraId="5A23BABD" w14:textId="77777777" w:rsidTr="00E851E6">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C4B8E77" w14:textId="64312B95" w:rsidR="000A0DAF" w:rsidRPr="00884D80" w:rsidRDefault="00156088" w:rsidP="000A0DAF">
            <w:pPr>
              <w:spacing w:after="0" w:line="240" w:lineRule="auto"/>
              <w:rPr>
                <w:rFonts w:ascii="Verdana" w:eastAsia="Times New Roman" w:hAnsi="Verdana" w:cs="Calibri"/>
                <w:color w:val="000000"/>
                <w:lang w:eastAsia="en-GB"/>
              </w:rPr>
            </w:pPr>
            <w:bookmarkStart w:id="2" w:name="_Hlk23848986"/>
            <w:r>
              <w:rPr>
                <w:rFonts w:ascii="Verdana" w:eastAsia="Times New Roman" w:hAnsi="Verdana" w:cs="Calibri"/>
                <w:color w:val="000000"/>
                <w:lang w:eastAsia="en-GB"/>
              </w:rPr>
              <w:t>West Sussex</w:t>
            </w:r>
          </w:p>
        </w:tc>
        <w:tc>
          <w:tcPr>
            <w:tcW w:w="1442" w:type="dxa"/>
            <w:tcBorders>
              <w:top w:val="nil"/>
              <w:left w:val="nil"/>
              <w:bottom w:val="single" w:sz="8" w:space="0" w:color="auto"/>
              <w:right w:val="single" w:sz="8" w:space="0" w:color="auto"/>
            </w:tcBorders>
            <w:shd w:val="clear" w:color="auto" w:fill="auto"/>
          </w:tcPr>
          <w:p w14:paraId="59A54332" w14:textId="77777777" w:rsidR="000A0DAF" w:rsidRPr="00884D80" w:rsidRDefault="000A0DAF"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r w:rsidR="007120E2">
              <w:rPr>
                <w:rFonts w:ascii="Verdana" w:eastAsia="Times New Roman" w:hAnsi="Verdana" w:cs="Calibri"/>
                <w:color w:val="000000"/>
                <w:lang w:eastAsia="en-GB"/>
              </w:rPr>
              <w:t>8</w:t>
            </w:r>
          </w:p>
        </w:tc>
        <w:tc>
          <w:tcPr>
            <w:tcW w:w="1500" w:type="dxa"/>
            <w:tcBorders>
              <w:top w:val="nil"/>
              <w:left w:val="nil"/>
              <w:bottom w:val="single" w:sz="8" w:space="0" w:color="auto"/>
              <w:right w:val="single" w:sz="8" w:space="0" w:color="auto"/>
            </w:tcBorders>
            <w:shd w:val="clear" w:color="auto" w:fill="auto"/>
            <w:noWrap/>
          </w:tcPr>
          <w:p w14:paraId="340FB872" w14:textId="6BED6774" w:rsidR="000A0DAF" w:rsidRPr="00884D80" w:rsidRDefault="00156088"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17</w:t>
            </w:r>
          </w:p>
        </w:tc>
      </w:tr>
      <w:tr w:rsidR="00156088" w:rsidRPr="00B50CFB" w14:paraId="6A68A324" w14:textId="77777777" w:rsidTr="00E172D9">
        <w:trPr>
          <w:trHeight w:val="315"/>
        </w:trPr>
        <w:tc>
          <w:tcPr>
            <w:tcW w:w="2358" w:type="dxa"/>
            <w:tcBorders>
              <w:top w:val="nil"/>
              <w:left w:val="single" w:sz="8" w:space="0" w:color="auto"/>
              <w:bottom w:val="single" w:sz="8" w:space="0" w:color="auto"/>
              <w:right w:val="single" w:sz="8" w:space="0" w:color="auto"/>
            </w:tcBorders>
            <w:shd w:val="clear" w:color="auto" w:fill="FFFFFF" w:themeFill="background1"/>
            <w:hideMark/>
          </w:tcPr>
          <w:p w14:paraId="27BFCFE2" w14:textId="384308A3" w:rsidR="000A0DAF" w:rsidRPr="00884D80" w:rsidRDefault="00076FBC" w:rsidP="000A0DAF">
            <w:pPr>
              <w:spacing w:after="0" w:line="240" w:lineRule="auto"/>
              <w:rPr>
                <w:rFonts w:ascii="Verdana" w:eastAsia="Times New Roman" w:hAnsi="Verdana" w:cs="Calibri"/>
                <w:bCs/>
                <w:color w:val="000000"/>
                <w:lang w:eastAsia="en-GB"/>
              </w:rPr>
            </w:pPr>
            <w:r>
              <w:rPr>
                <w:rFonts w:ascii="Verdana" w:eastAsia="Times New Roman" w:hAnsi="Verdana" w:cs="Calibri"/>
                <w:bCs/>
                <w:color w:val="000000"/>
                <w:lang w:eastAsia="en-GB"/>
              </w:rPr>
              <w:t>W</w:t>
            </w:r>
            <w:r w:rsidR="00156088">
              <w:rPr>
                <w:rFonts w:ascii="Verdana" w:eastAsia="Times New Roman" w:hAnsi="Verdana" w:cs="Calibri"/>
                <w:bCs/>
                <w:color w:val="000000"/>
                <w:lang w:eastAsia="en-GB"/>
              </w:rPr>
              <w:t>arwickshire</w:t>
            </w:r>
          </w:p>
        </w:tc>
        <w:tc>
          <w:tcPr>
            <w:tcW w:w="1442" w:type="dxa"/>
            <w:tcBorders>
              <w:top w:val="nil"/>
              <w:left w:val="nil"/>
              <w:bottom w:val="single" w:sz="8" w:space="0" w:color="auto"/>
              <w:right w:val="single" w:sz="8" w:space="0" w:color="auto"/>
            </w:tcBorders>
            <w:shd w:val="clear" w:color="auto" w:fill="auto"/>
          </w:tcPr>
          <w:p w14:paraId="0496E82C" w14:textId="5577B1D0" w:rsidR="000A0DAF" w:rsidRPr="00884D80" w:rsidRDefault="00156088" w:rsidP="000A0DAF">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29</w:t>
            </w:r>
          </w:p>
        </w:tc>
        <w:tc>
          <w:tcPr>
            <w:tcW w:w="1500" w:type="dxa"/>
            <w:tcBorders>
              <w:top w:val="nil"/>
              <w:left w:val="nil"/>
              <w:bottom w:val="single" w:sz="8" w:space="0" w:color="auto"/>
              <w:right w:val="single" w:sz="8" w:space="0" w:color="auto"/>
            </w:tcBorders>
            <w:shd w:val="clear" w:color="auto" w:fill="auto"/>
            <w:noWrap/>
          </w:tcPr>
          <w:p w14:paraId="2C559602" w14:textId="52238618" w:rsidR="000A0DAF" w:rsidRPr="00884D80" w:rsidRDefault="00076FBC" w:rsidP="000A0DAF">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2</w:t>
            </w:r>
            <w:r w:rsidR="00156088">
              <w:rPr>
                <w:rFonts w:ascii="Verdana" w:eastAsia="Times New Roman" w:hAnsi="Verdana" w:cs="Calibri"/>
                <w:bCs/>
                <w:color w:val="000000"/>
                <w:lang w:eastAsia="en-GB"/>
              </w:rPr>
              <w:t>0</w:t>
            </w:r>
          </w:p>
        </w:tc>
      </w:tr>
      <w:tr w:rsidR="00156088" w:rsidRPr="00B50CFB" w14:paraId="0EA90412" w14:textId="77777777" w:rsidTr="00156088">
        <w:trPr>
          <w:trHeight w:val="315"/>
        </w:trPr>
        <w:tc>
          <w:tcPr>
            <w:tcW w:w="2358" w:type="dxa"/>
            <w:tcBorders>
              <w:top w:val="nil"/>
              <w:left w:val="single" w:sz="8" w:space="0" w:color="auto"/>
              <w:bottom w:val="single" w:sz="8" w:space="0" w:color="auto"/>
              <w:right w:val="single" w:sz="8" w:space="0" w:color="auto"/>
            </w:tcBorders>
            <w:shd w:val="clear" w:color="auto" w:fill="FFFF00"/>
            <w:hideMark/>
          </w:tcPr>
          <w:p w14:paraId="4B4782CE" w14:textId="50C9C4A2" w:rsidR="000A0DAF" w:rsidRPr="00156088" w:rsidRDefault="00156088" w:rsidP="000A0DAF">
            <w:pPr>
              <w:spacing w:after="0" w:line="240" w:lineRule="auto"/>
              <w:rPr>
                <w:rFonts w:ascii="Verdana" w:eastAsia="Times New Roman" w:hAnsi="Verdana" w:cs="Calibri"/>
                <w:b/>
                <w:bCs/>
                <w:color w:val="000000"/>
                <w:lang w:eastAsia="en-GB"/>
              </w:rPr>
            </w:pPr>
            <w:r w:rsidRPr="00156088">
              <w:rPr>
                <w:rFonts w:ascii="Verdana" w:eastAsia="Times New Roman" w:hAnsi="Verdana" w:cs="Calibri"/>
                <w:b/>
                <w:bCs/>
                <w:color w:val="000000"/>
                <w:lang w:eastAsia="en-GB"/>
              </w:rPr>
              <w:t>Buckinghamshire</w:t>
            </w:r>
          </w:p>
        </w:tc>
        <w:tc>
          <w:tcPr>
            <w:tcW w:w="1442" w:type="dxa"/>
            <w:tcBorders>
              <w:top w:val="nil"/>
              <w:left w:val="nil"/>
              <w:bottom w:val="single" w:sz="8" w:space="0" w:color="auto"/>
              <w:right w:val="single" w:sz="8" w:space="0" w:color="auto"/>
            </w:tcBorders>
            <w:shd w:val="clear" w:color="auto" w:fill="FFFF00"/>
          </w:tcPr>
          <w:p w14:paraId="1171F3CD" w14:textId="0CDE8714" w:rsidR="000A0DAF" w:rsidRPr="00156088" w:rsidRDefault="00156088" w:rsidP="000A0DAF">
            <w:pPr>
              <w:spacing w:after="0" w:line="240" w:lineRule="auto"/>
              <w:jc w:val="right"/>
              <w:rPr>
                <w:rFonts w:ascii="Verdana" w:eastAsia="Times New Roman" w:hAnsi="Verdana" w:cs="Calibri"/>
                <w:b/>
                <w:bCs/>
                <w:color w:val="000000"/>
                <w:lang w:eastAsia="en-GB"/>
              </w:rPr>
            </w:pPr>
            <w:r>
              <w:rPr>
                <w:rFonts w:ascii="Verdana" w:eastAsia="Times New Roman" w:hAnsi="Verdana" w:cs="Calibri"/>
                <w:b/>
                <w:bCs/>
                <w:color w:val="000000"/>
                <w:lang w:eastAsia="en-GB"/>
              </w:rPr>
              <w:t>38</w:t>
            </w:r>
          </w:p>
        </w:tc>
        <w:tc>
          <w:tcPr>
            <w:tcW w:w="1500" w:type="dxa"/>
            <w:tcBorders>
              <w:top w:val="nil"/>
              <w:left w:val="nil"/>
              <w:bottom w:val="single" w:sz="8" w:space="0" w:color="auto"/>
              <w:right w:val="single" w:sz="8" w:space="0" w:color="auto"/>
            </w:tcBorders>
            <w:shd w:val="clear" w:color="auto" w:fill="FFFF00"/>
            <w:noWrap/>
          </w:tcPr>
          <w:p w14:paraId="5BA2C694" w14:textId="63AE7C8B" w:rsidR="000A0DAF" w:rsidRPr="00156088" w:rsidRDefault="0036224D" w:rsidP="000A0DAF">
            <w:pPr>
              <w:spacing w:after="0" w:line="240" w:lineRule="auto"/>
              <w:jc w:val="right"/>
              <w:rPr>
                <w:rFonts w:ascii="Verdana" w:eastAsia="Times New Roman" w:hAnsi="Verdana" w:cs="Calibri"/>
                <w:b/>
                <w:bCs/>
                <w:color w:val="000000"/>
                <w:lang w:eastAsia="en-GB"/>
              </w:rPr>
            </w:pPr>
            <w:r w:rsidRPr="00156088">
              <w:rPr>
                <w:rFonts w:ascii="Verdana" w:eastAsia="Times New Roman" w:hAnsi="Verdana" w:cs="Calibri"/>
                <w:b/>
                <w:bCs/>
                <w:color w:val="000000"/>
                <w:lang w:eastAsia="en-GB"/>
              </w:rPr>
              <w:t>2</w:t>
            </w:r>
            <w:r w:rsidR="00156088">
              <w:rPr>
                <w:rFonts w:ascii="Verdana" w:eastAsia="Times New Roman" w:hAnsi="Verdana" w:cs="Calibri"/>
                <w:b/>
                <w:bCs/>
                <w:color w:val="000000"/>
                <w:lang w:eastAsia="en-GB"/>
              </w:rPr>
              <w:t>4</w:t>
            </w:r>
          </w:p>
        </w:tc>
      </w:tr>
      <w:tr w:rsidR="00156088" w:rsidRPr="00B50CFB" w14:paraId="1B388D89" w14:textId="77777777" w:rsidTr="00E851E6">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50DD406" w14:textId="15B4A58C" w:rsidR="000A0DAF" w:rsidRPr="00884D80" w:rsidRDefault="00156088"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Suffolk</w:t>
            </w:r>
          </w:p>
        </w:tc>
        <w:tc>
          <w:tcPr>
            <w:tcW w:w="1442" w:type="dxa"/>
            <w:tcBorders>
              <w:top w:val="nil"/>
              <w:left w:val="nil"/>
              <w:bottom w:val="single" w:sz="8" w:space="0" w:color="auto"/>
              <w:right w:val="single" w:sz="8" w:space="0" w:color="auto"/>
            </w:tcBorders>
            <w:shd w:val="clear" w:color="auto" w:fill="auto"/>
          </w:tcPr>
          <w:p w14:paraId="7E8BA778" w14:textId="7F37EE27" w:rsidR="000A0DAF" w:rsidRPr="00884D80" w:rsidRDefault="00156088"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27</w:t>
            </w:r>
          </w:p>
        </w:tc>
        <w:tc>
          <w:tcPr>
            <w:tcW w:w="1500" w:type="dxa"/>
            <w:tcBorders>
              <w:top w:val="nil"/>
              <w:left w:val="nil"/>
              <w:bottom w:val="single" w:sz="8" w:space="0" w:color="auto"/>
              <w:right w:val="single" w:sz="8" w:space="0" w:color="auto"/>
            </w:tcBorders>
            <w:shd w:val="clear" w:color="auto" w:fill="auto"/>
            <w:noWrap/>
          </w:tcPr>
          <w:p w14:paraId="4EA496C3" w14:textId="7C334939" w:rsidR="000A0DAF" w:rsidRPr="00884D80" w:rsidRDefault="00EA268E"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r w:rsidR="00156088">
              <w:rPr>
                <w:rFonts w:ascii="Verdana" w:eastAsia="Times New Roman" w:hAnsi="Verdana" w:cs="Calibri"/>
                <w:color w:val="000000"/>
                <w:lang w:eastAsia="en-GB"/>
              </w:rPr>
              <w:t>6</w:t>
            </w:r>
          </w:p>
        </w:tc>
      </w:tr>
      <w:tr w:rsidR="00156088" w:rsidRPr="00B50CFB" w14:paraId="42151941" w14:textId="77777777" w:rsidTr="00884D80">
        <w:trPr>
          <w:trHeight w:val="315"/>
        </w:trPr>
        <w:tc>
          <w:tcPr>
            <w:tcW w:w="2358" w:type="dxa"/>
            <w:tcBorders>
              <w:top w:val="nil"/>
              <w:left w:val="single" w:sz="8" w:space="0" w:color="auto"/>
              <w:bottom w:val="single" w:sz="8" w:space="0" w:color="auto"/>
              <w:right w:val="single" w:sz="8" w:space="0" w:color="auto"/>
            </w:tcBorders>
            <w:shd w:val="clear" w:color="auto" w:fill="auto"/>
          </w:tcPr>
          <w:p w14:paraId="639A7A50" w14:textId="1DCB60F1" w:rsidR="000A0DAF" w:rsidRPr="00884D80" w:rsidRDefault="00EA268E"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w:t>
            </w:r>
            <w:r w:rsidR="00156088">
              <w:rPr>
                <w:rFonts w:ascii="Verdana" w:eastAsia="Times New Roman" w:hAnsi="Verdana" w:cs="Calibri"/>
                <w:color w:val="000000"/>
                <w:lang w:eastAsia="en-GB"/>
              </w:rPr>
              <w:t>rkshire</w:t>
            </w:r>
          </w:p>
        </w:tc>
        <w:tc>
          <w:tcPr>
            <w:tcW w:w="1442" w:type="dxa"/>
            <w:tcBorders>
              <w:top w:val="nil"/>
              <w:left w:val="nil"/>
              <w:bottom w:val="single" w:sz="8" w:space="0" w:color="auto"/>
              <w:right w:val="single" w:sz="8" w:space="0" w:color="auto"/>
            </w:tcBorders>
            <w:shd w:val="clear" w:color="auto" w:fill="auto"/>
          </w:tcPr>
          <w:p w14:paraId="38533C15" w14:textId="4D14E989" w:rsidR="000A0DAF" w:rsidRPr="00884D80" w:rsidRDefault="00156088"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60</w:t>
            </w:r>
          </w:p>
        </w:tc>
        <w:tc>
          <w:tcPr>
            <w:tcW w:w="1500" w:type="dxa"/>
            <w:tcBorders>
              <w:top w:val="nil"/>
              <w:left w:val="nil"/>
              <w:bottom w:val="single" w:sz="8" w:space="0" w:color="auto"/>
              <w:right w:val="single" w:sz="8" w:space="0" w:color="auto"/>
            </w:tcBorders>
            <w:shd w:val="clear" w:color="auto" w:fill="auto"/>
            <w:noWrap/>
          </w:tcPr>
          <w:p w14:paraId="6C34D67B" w14:textId="72E90991" w:rsidR="000A0DAF" w:rsidRPr="00884D80" w:rsidRDefault="00156088"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27</w:t>
            </w:r>
          </w:p>
        </w:tc>
      </w:tr>
      <w:tr w:rsidR="00156088" w:rsidRPr="00B50CFB" w14:paraId="293D2EA0" w14:textId="77777777" w:rsidTr="00156088">
        <w:trPr>
          <w:trHeight w:val="315"/>
        </w:trPr>
        <w:tc>
          <w:tcPr>
            <w:tcW w:w="2358" w:type="dxa"/>
            <w:tcBorders>
              <w:top w:val="nil"/>
              <w:left w:val="single" w:sz="8" w:space="0" w:color="auto"/>
              <w:bottom w:val="single" w:sz="8" w:space="0" w:color="auto"/>
              <w:right w:val="single" w:sz="8" w:space="0" w:color="auto"/>
            </w:tcBorders>
            <w:shd w:val="clear" w:color="auto" w:fill="auto"/>
          </w:tcPr>
          <w:p w14:paraId="3E76B418" w14:textId="174FBBCC" w:rsidR="000A0DAF" w:rsidRPr="00156088" w:rsidRDefault="00156088" w:rsidP="000A0DAF">
            <w:pPr>
              <w:spacing w:after="0" w:line="240" w:lineRule="auto"/>
              <w:rPr>
                <w:rFonts w:ascii="Verdana" w:eastAsia="Times New Roman" w:hAnsi="Verdana" w:cs="Calibri"/>
                <w:bCs/>
                <w:color w:val="000000"/>
                <w:lang w:eastAsia="en-GB"/>
              </w:rPr>
            </w:pPr>
            <w:r w:rsidRPr="00156088">
              <w:rPr>
                <w:rFonts w:ascii="Verdana" w:eastAsia="Times New Roman" w:hAnsi="Verdana" w:cs="Calibri"/>
                <w:bCs/>
                <w:color w:val="000000"/>
                <w:lang w:eastAsia="en-GB"/>
              </w:rPr>
              <w:t>Northamptonshire</w:t>
            </w:r>
          </w:p>
        </w:tc>
        <w:tc>
          <w:tcPr>
            <w:tcW w:w="1442" w:type="dxa"/>
            <w:tcBorders>
              <w:top w:val="nil"/>
              <w:left w:val="nil"/>
              <w:bottom w:val="single" w:sz="8" w:space="0" w:color="auto"/>
              <w:right w:val="single" w:sz="8" w:space="0" w:color="auto"/>
            </w:tcBorders>
            <w:shd w:val="clear" w:color="auto" w:fill="auto"/>
          </w:tcPr>
          <w:p w14:paraId="6AE7E29E" w14:textId="6D82B428" w:rsidR="000A0DAF" w:rsidRPr="00156088" w:rsidRDefault="00156088" w:rsidP="000A0DAF">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29</w:t>
            </w:r>
          </w:p>
        </w:tc>
        <w:tc>
          <w:tcPr>
            <w:tcW w:w="1500" w:type="dxa"/>
            <w:tcBorders>
              <w:top w:val="nil"/>
              <w:left w:val="nil"/>
              <w:bottom w:val="single" w:sz="8" w:space="0" w:color="auto"/>
              <w:right w:val="single" w:sz="8" w:space="0" w:color="auto"/>
            </w:tcBorders>
            <w:shd w:val="clear" w:color="auto" w:fill="auto"/>
            <w:noWrap/>
          </w:tcPr>
          <w:p w14:paraId="5CEDC8CC" w14:textId="05D6FF9F" w:rsidR="000A0DAF" w:rsidRPr="00156088" w:rsidRDefault="00EA268E" w:rsidP="000A0DAF">
            <w:pPr>
              <w:spacing w:after="0" w:line="240" w:lineRule="auto"/>
              <w:jc w:val="right"/>
              <w:rPr>
                <w:rFonts w:ascii="Verdana" w:eastAsia="Times New Roman" w:hAnsi="Verdana" w:cs="Calibri"/>
                <w:bCs/>
                <w:color w:val="000000"/>
                <w:lang w:eastAsia="en-GB"/>
              </w:rPr>
            </w:pPr>
            <w:r w:rsidRPr="00156088">
              <w:rPr>
                <w:rFonts w:ascii="Verdana" w:eastAsia="Times New Roman" w:hAnsi="Verdana" w:cs="Calibri"/>
                <w:bCs/>
                <w:color w:val="000000"/>
                <w:lang w:eastAsia="en-GB"/>
              </w:rPr>
              <w:t>3</w:t>
            </w:r>
            <w:r w:rsidR="00156088">
              <w:rPr>
                <w:rFonts w:ascii="Verdana" w:eastAsia="Times New Roman" w:hAnsi="Verdana" w:cs="Calibri"/>
                <w:bCs/>
                <w:color w:val="000000"/>
                <w:lang w:eastAsia="en-GB"/>
              </w:rPr>
              <w:t>7</w:t>
            </w:r>
          </w:p>
        </w:tc>
      </w:tr>
      <w:tr w:rsidR="00156088" w:rsidRPr="00B50CFB" w14:paraId="55C3DC72" w14:textId="77777777" w:rsidTr="00E851E6">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B3274E9" w14:textId="77777777" w:rsidR="000A0DAF" w:rsidRPr="00884D80" w:rsidRDefault="00913C8C"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Oxfordshire</w:t>
            </w:r>
          </w:p>
        </w:tc>
        <w:tc>
          <w:tcPr>
            <w:tcW w:w="1442" w:type="dxa"/>
            <w:tcBorders>
              <w:top w:val="nil"/>
              <w:left w:val="nil"/>
              <w:bottom w:val="single" w:sz="8" w:space="0" w:color="auto"/>
              <w:right w:val="single" w:sz="8" w:space="0" w:color="auto"/>
            </w:tcBorders>
            <w:shd w:val="clear" w:color="auto" w:fill="auto"/>
          </w:tcPr>
          <w:p w14:paraId="49BBDEBE" w14:textId="25344B34" w:rsidR="000A0DAF" w:rsidRPr="00884D80" w:rsidRDefault="00156088"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47</w:t>
            </w:r>
          </w:p>
        </w:tc>
        <w:tc>
          <w:tcPr>
            <w:tcW w:w="1500" w:type="dxa"/>
            <w:tcBorders>
              <w:top w:val="nil"/>
              <w:left w:val="nil"/>
              <w:bottom w:val="single" w:sz="8" w:space="0" w:color="auto"/>
              <w:right w:val="single" w:sz="8" w:space="0" w:color="auto"/>
            </w:tcBorders>
            <w:shd w:val="clear" w:color="auto" w:fill="auto"/>
            <w:noWrap/>
          </w:tcPr>
          <w:p w14:paraId="475CFF88" w14:textId="6B8551F7" w:rsidR="000A0DAF" w:rsidRPr="00884D80" w:rsidRDefault="00156088"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42</w:t>
            </w:r>
          </w:p>
        </w:tc>
      </w:tr>
      <w:tr w:rsidR="00156088" w:rsidRPr="00B50CFB" w14:paraId="23F3E847" w14:textId="77777777" w:rsidTr="00E851E6">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5ECEBA9" w14:textId="516D6DA6" w:rsidR="000A0DAF" w:rsidRPr="00884D80" w:rsidRDefault="00156088"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Hereford and Worcester</w:t>
            </w:r>
          </w:p>
        </w:tc>
        <w:tc>
          <w:tcPr>
            <w:tcW w:w="1442" w:type="dxa"/>
            <w:tcBorders>
              <w:top w:val="nil"/>
              <w:left w:val="nil"/>
              <w:bottom w:val="single" w:sz="8" w:space="0" w:color="auto"/>
              <w:right w:val="single" w:sz="8" w:space="0" w:color="auto"/>
            </w:tcBorders>
            <w:shd w:val="clear" w:color="auto" w:fill="auto"/>
          </w:tcPr>
          <w:p w14:paraId="7D19A1F6" w14:textId="39F89D9C"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62</w:t>
            </w:r>
          </w:p>
        </w:tc>
        <w:tc>
          <w:tcPr>
            <w:tcW w:w="1500" w:type="dxa"/>
            <w:tcBorders>
              <w:top w:val="nil"/>
              <w:left w:val="nil"/>
              <w:bottom w:val="single" w:sz="8" w:space="0" w:color="auto"/>
              <w:right w:val="single" w:sz="8" w:space="0" w:color="auto"/>
            </w:tcBorders>
            <w:shd w:val="clear" w:color="auto" w:fill="auto"/>
            <w:noWrap/>
          </w:tcPr>
          <w:p w14:paraId="5B6745F6" w14:textId="595FD347"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46</w:t>
            </w:r>
          </w:p>
        </w:tc>
      </w:tr>
      <w:tr w:rsidR="00156088" w:rsidRPr="00B50CFB" w14:paraId="3DF026E6" w14:textId="77777777" w:rsidTr="00E851E6">
        <w:trPr>
          <w:trHeight w:val="315"/>
        </w:trPr>
        <w:tc>
          <w:tcPr>
            <w:tcW w:w="2358" w:type="dxa"/>
            <w:tcBorders>
              <w:top w:val="nil"/>
              <w:left w:val="single" w:sz="8" w:space="0" w:color="auto"/>
              <w:bottom w:val="single" w:sz="8" w:space="0" w:color="auto"/>
              <w:right w:val="single" w:sz="8" w:space="0" w:color="auto"/>
            </w:tcBorders>
            <w:shd w:val="clear" w:color="auto" w:fill="auto"/>
          </w:tcPr>
          <w:p w14:paraId="5F22B393" w14:textId="4F3BF3A8" w:rsidR="000A0DAF" w:rsidRDefault="00156088"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Bedfordshire</w:t>
            </w:r>
          </w:p>
        </w:tc>
        <w:tc>
          <w:tcPr>
            <w:tcW w:w="1442" w:type="dxa"/>
            <w:tcBorders>
              <w:top w:val="nil"/>
              <w:left w:val="nil"/>
              <w:bottom w:val="single" w:sz="8" w:space="0" w:color="auto"/>
              <w:right w:val="single" w:sz="8" w:space="0" w:color="auto"/>
            </w:tcBorders>
            <w:shd w:val="clear" w:color="auto" w:fill="auto"/>
          </w:tcPr>
          <w:p w14:paraId="514FE8B1" w14:textId="2C39F912"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37</w:t>
            </w:r>
          </w:p>
        </w:tc>
        <w:tc>
          <w:tcPr>
            <w:tcW w:w="1500" w:type="dxa"/>
            <w:tcBorders>
              <w:top w:val="nil"/>
              <w:left w:val="nil"/>
              <w:bottom w:val="single" w:sz="8" w:space="0" w:color="auto"/>
              <w:right w:val="single" w:sz="8" w:space="0" w:color="auto"/>
            </w:tcBorders>
            <w:shd w:val="clear" w:color="auto" w:fill="auto"/>
            <w:noWrap/>
          </w:tcPr>
          <w:p w14:paraId="019EA36C" w14:textId="40AA7A3D" w:rsidR="000A0DAF"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47</w:t>
            </w:r>
          </w:p>
        </w:tc>
      </w:tr>
      <w:tr w:rsidR="00156088" w:rsidRPr="00B50CFB" w14:paraId="641AE07F" w14:textId="77777777" w:rsidTr="002B19DD">
        <w:trPr>
          <w:trHeight w:val="243"/>
        </w:trPr>
        <w:tc>
          <w:tcPr>
            <w:tcW w:w="2358" w:type="dxa"/>
            <w:tcBorders>
              <w:top w:val="nil"/>
              <w:left w:val="single" w:sz="8" w:space="0" w:color="auto"/>
              <w:bottom w:val="single" w:sz="8" w:space="0" w:color="auto"/>
              <w:right w:val="single" w:sz="8" w:space="0" w:color="auto"/>
            </w:tcBorders>
            <w:shd w:val="clear" w:color="auto" w:fill="auto"/>
            <w:hideMark/>
          </w:tcPr>
          <w:p w14:paraId="41111607" w14:textId="65497C8C" w:rsidR="000A0DAF" w:rsidRPr="00884D80" w:rsidRDefault="000A0DAF"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East Sussex</w:t>
            </w:r>
          </w:p>
        </w:tc>
        <w:tc>
          <w:tcPr>
            <w:tcW w:w="1442" w:type="dxa"/>
            <w:tcBorders>
              <w:top w:val="nil"/>
              <w:left w:val="nil"/>
              <w:bottom w:val="single" w:sz="8" w:space="0" w:color="auto"/>
              <w:right w:val="single" w:sz="8" w:space="0" w:color="auto"/>
            </w:tcBorders>
            <w:shd w:val="clear" w:color="auto" w:fill="auto"/>
          </w:tcPr>
          <w:p w14:paraId="4786F2FE" w14:textId="1B0375AB"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65</w:t>
            </w:r>
          </w:p>
        </w:tc>
        <w:tc>
          <w:tcPr>
            <w:tcW w:w="1500" w:type="dxa"/>
            <w:tcBorders>
              <w:top w:val="nil"/>
              <w:left w:val="nil"/>
              <w:bottom w:val="single" w:sz="8" w:space="0" w:color="auto"/>
              <w:right w:val="single" w:sz="8" w:space="0" w:color="auto"/>
            </w:tcBorders>
            <w:shd w:val="clear" w:color="auto" w:fill="auto"/>
            <w:noWrap/>
          </w:tcPr>
          <w:p w14:paraId="1F24DC0F" w14:textId="49FD0FDC"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71</w:t>
            </w:r>
          </w:p>
        </w:tc>
      </w:tr>
      <w:tr w:rsidR="00156088" w:rsidRPr="00B50CFB" w14:paraId="414D13AD" w14:textId="77777777" w:rsidTr="00E851E6">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623590D" w14:textId="6917AAB1" w:rsidR="000A0DAF" w:rsidRPr="00884D80" w:rsidRDefault="00156088"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Norfolk</w:t>
            </w:r>
          </w:p>
        </w:tc>
        <w:tc>
          <w:tcPr>
            <w:tcW w:w="1442" w:type="dxa"/>
            <w:tcBorders>
              <w:top w:val="nil"/>
              <w:left w:val="nil"/>
              <w:bottom w:val="single" w:sz="8" w:space="0" w:color="auto"/>
              <w:right w:val="single" w:sz="8" w:space="0" w:color="auto"/>
            </w:tcBorders>
            <w:shd w:val="clear" w:color="auto" w:fill="auto"/>
          </w:tcPr>
          <w:p w14:paraId="451C3DA9" w14:textId="6D76E763"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86</w:t>
            </w:r>
          </w:p>
        </w:tc>
        <w:tc>
          <w:tcPr>
            <w:tcW w:w="1500" w:type="dxa"/>
            <w:tcBorders>
              <w:top w:val="nil"/>
              <w:left w:val="nil"/>
              <w:bottom w:val="single" w:sz="8" w:space="0" w:color="auto"/>
              <w:right w:val="single" w:sz="8" w:space="0" w:color="auto"/>
            </w:tcBorders>
            <w:shd w:val="clear" w:color="auto" w:fill="auto"/>
            <w:noWrap/>
          </w:tcPr>
          <w:p w14:paraId="677652A3" w14:textId="7CD4A596"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74</w:t>
            </w:r>
          </w:p>
        </w:tc>
      </w:tr>
      <w:tr w:rsidR="00156088" w:rsidRPr="00B50CFB" w14:paraId="52D94F0B" w14:textId="77777777" w:rsidTr="00E851E6">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44F8B33B" w14:textId="5D6F94DB" w:rsidR="000A0DAF" w:rsidRPr="00884D80" w:rsidRDefault="00156088" w:rsidP="000A0DA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Cambridgeshire</w:t>
            </w:r>
          </w:p>
        </w:tc>
        <w:tc>
          <w:tcPr>
            <w:tcW w:w="1442" w:type="dxa"/>
            <w:tcBorders>
              <w:top w:val="nil"/>
              <w:left w:val="nil"/>
              <w:bottom w:val="single" w:sz="8" w:space="0" w:color="auto"/>
              <w:right w:val="single" w:sz="8" w:space="0" w:color="auto"/>
            </w:tcBorders>
            <w:shd w:val="clear" w:color="auto" w:fill="auto"/>
          </w:tcPr>
          <w:p w14:paraId="1400C10B" w14:textId="0A557566"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82</w:t>
            </w:r>
          </w:p>
        </w:tc>
        <w:tc>
          <w:tcPr>
            <w:tcW w:w="1500" w:type="dxa"/>
            <w:tcBorders>
              <w:top w:val="nil"/>
              <w:left w:val="nil"/>
              <w:bottom w:val="single" w:sz="8" w:space="0" w:color="auto"/>
              <w:right w:val="single" w:sz="8" w:space="0" w:color="auto"/>
            </w:tcBorders>
            <w:shd w:val="clear" w:color="auto" w:fill="auto"/>
            <w:noWrap/>
          </w:tcPr>
          <w:p w14:paraId="7BFA77F8" w14:textId="4259F4C1" w:rsidR="000A0DAF" w:rsidRPr="00884D80" w:rsidRDefault="00186086" w:rsidP="000A0DA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76</w:t>
            </w:r>
          </w:p>
        </w:tc>
      </w:tr>
    </w:tbl>
    <w:tbl>
      <w:tblPr>
        <w:tblpPr w:leftFromText="180" w:rightFromText="180" w:vertAnchor="text" w:horzAnchor="margin" w:tblpY="-224"/>
        <w:tblW w:w="5300" w:type="dxa"/>
        <w:tblLook w:val="04A0" w:firstRow="1" w:lastRow="0" w:firstColumn="1" w:lastColumn="0" w:noHBand="0" w:noVBand="1"/>
      </w:tblPr>
      <w:tblGrid>
        <w:gridCol w:w="2358"/>
        <w:gridCol w:w="1442"/>
        <w:gridCol w:w="1500"/>
      </w:tblGrid>
      <w:tr w:rsidR="008D6DEA" w:rsidRPr="00B50CFB" w14:paraId="0B365C2B" w14:textId="77777777" w:rsidTr="008D6DEA">
        <w:trPr>
          <w:trHeight w:val="585"/>
        </w:trPr>
        <w:tc>
          <w:tcPr>
            <w:tcW w:w="2358" w:type="dxa"/>
            <w:tcBorders>
              <w:top w:val="single" w:sz="8" w:space="0" w:color="auto"/>
              <w:left w:val="single" w:sz="8" w:space="0" w:color="auto"/>
              <w:bottom w:val="single" w:sz="8" w:space="0" w:color="auto"/>
              <w:right w:val="single" w:sz="8" w:space="0" w:color="auto"/>
            </w:tcBorders>
            <w:shd w:val="clear" w:color="auto" w:fill="C5E0B3" w:themeFill="accent6" w:themeFillTint="66"/>
            <w:hideMark/>
          </w:tcPr>
          <w:bookmarkEnd w:id="2"/>
          <w:p w14:paraId="14619EA6" w14:textId="77777777" w:rsidR="008D6DEA" w:rsidRPr="00830A89" w:rsidRDefault="008D6DEA" w:rsidP="008D6DEA">
            <w:pPr>
              <w:spacing w:after="0" w:line="240" w:lineRule="auto"/>
              <w:rPr>
                <w:rFonts w:ascii="Verdana" w:eastAsia="Times New Roman" w:hAnsi="Verdana" w:cs="Calibri"/>
                <w:b/>
                <w:bCs/>
                <w:color w:val="000000"/>
                <w:lang w:eastAsia="en-GB"/>
              </w:rPr>
            </w:pPr>
            <w:r w:rsidRPr="00830A89">
              <w:rPr>
                <w:rFonts w:ascii="Verdana" w:eastAsia="Times New Roman" w:hAnsi="Verdana" w:cs="Calibri"/>
                <w:b/>
                <w:bCs/>
                <w:color w:val="000000"/>
                <w:lang w:eastAsia="en-GB"/>
              </w:rPr>
              <w:lastRenderedPageBreak/>
              <w:t xml:space="preserve">Total </w:t>
            </w:r>
            <w:r>
              <w:rPr>
                <w:rFonts w:ascii="Verdana" w:eastAsia="Times New Roman" w:hAnsi="Verdana" w:cs="Calibri"/>
                <w:b/>
                <w:bCs/>
                <w:color w:val="000000"/>
                <w:lang w:eastAsia="en-GB"/>
              </w:rPr>
              <w:t>n</w:t>
            </w:r>
            <w:r w:rsidRPr="00830A89">
              <w:rPr>
                <w:rFonts w:ascii="Verdana" w:eastAsia="Times New Roman" w:hAnsi="Verdana" w:cs="Calibri"/>
                <w:b/>
                <w:bCs/>
                <w:color w:val="000000"/>
                <w:lang w:eastAsia="en-GB"/>
              </w:rPr>
              <w:t xml:space="preserve">umber of </w:t>
            </w:r>
            <w:r>
              <w:rPr>
                <w:rFonts w:ascii="Verdana" w:eastAsia="Times New Roman" w:hAnsi="Verdana" w:cs="Calibri"/>
                <w:b/>
                <w:bCs/>
                <w:color w:val="000000"/>
                <w:lang w:eastAsia="en-GB"/>
              </w:rPr>
              <w:t>i</w:t>
            </w:r>
            <w:r w:rsidRPr="00830A89">
              <w:rPr>
                <w:rFonts w:ascii="Verdana" w:eastAsia="Times New Roman" w:hAnsi="Verdana" w:cs="Calibri"/>
                <w:b/>
                <w:bCs/>
                <w:color w:val="000000"/>
                <w:lang w:eastAsia="en-GB"/>
              </w:rPr>
              <w:t xml:space="preserve">njuries at </w:t>
            </w:r>
            <w:r>
              <w:rPr>
                <w:rFonts w:ascii="Verdana" w:eastAsia="Times New Roman" w:hAnsi="Verdana" w:cs="Calibri"/>
                <w:b/>
                <w:bCs/>
                <w:color w:val="000000"/>
                <w:lang w:eastAsia="en-GB"/>
              </w:rPr>
              <w:t>f</w:t>
            </w:r>
            <w:r w:rsidRPr="00830A89">
              <w:rPr>
                <w:rFonts w:ascii="Verdana" w:eastAsia="Times New Roman" w:hAnsi="Verdana" w:cs="Calibri"/>
                <w:b/>
                <w:bCs/>
                <w:color w:val="000000"/>
                <w:lang w:eastAsia="en-GB"/>
              </w:rPr>
              <w:t>ires</w:t>
            </w:r>
          </w:p>
        </w:tc>
        <w:tc>
          <w:tcPr>
            <w:tcW w:w="1442" w:type="dxa"/>
            <w:tcBorders>
              <w:top w:val="single" w:sz="8" w:space="0" w:color="auto"/>
              <w:left w:val="nil"/>
              <w:bottom w:val="single" w:sz="8" w:space="0" w:color="auto"/>
              <w:right w:val="single" w:sz="8" w:space="0" w:color="auto"/>
            </w:tcBorders>
            <w:shd w:val="clear" w:color="auto" w:fill="C5E0B3" w:themeFill="accent6" w:themeFillTint="66"/>
            <w:hideMark/>
          </w:tcPr>
          <w:p w14:paraId="0010095F" w14:textId="77777777" w:rsidR="008D6DEA" w:rsidRPr="00830A89" w:rsidRDefault="008D6DEA" w:rsidP="008D6DEA">
            <w:pPr>
              <w:spacing w:after="0" w:line="240" w:lineRule="auto"/>
              <w:rPr>
                <w:rFonts w:ascii="Verdana" w:eastAsia="Times New Roman" w:hAnsi="Verdana" w:cs="Calibri"/>
                <w:b/>
                <w:bCs/>
                <w:color w:val="000000"/>
                <w:lang w:eastAsia="en-GB"/>
              </w:rPr>
            </w:pPr>
            <w:r w:rsidRPr="00830A89">
              <w:rPr>
                <w:rFonts w:ascii="Verdana" w:eastAsia="Times New Roman" w:hAnsi="Verdana" w:cs="Calibri"/>
                <w:b/>
                <w:bCs/>
                <w:color w:val="000000"/>
                <w:lang w:eastAsia="en-GB"/>
              </w:rPr>
              <w:t>201</w:t>
            </w:r>
            <w:r>
              <w:rPr>
                <w:rFonts w:ascii="Verdana" w:eastAsia="Times New Roman" w:hAnsi="Verdana" w:cs="Calibri"/>
                <w:b/>
                <w:bCs/>
                <w:color w:val="000000"/>
                <w:lang w:eastAsia="en-GB"/>
              </w:rPr>
              <w:t>9</w:t>
            </w:r>
            <w:r w:rsidRPr="00830A89">
              <w:rPr>
                <w:rFonts w:ascii="Verdana" w:eastAsia="Times New Roman" w:hAnsi="Verdana" w:cs="Calibri"/>
                <w:b/>
                <w:bCs/>
                <w:color w:val="000000"/>
                <w:lang w:eastAsia="en-GB"/>
              </w:rPr>
              <w:t>-</w:t>
            </w:r>
            <w:r>
              <w:rPr>
                <w:rFonts w:ascii="Verdana" w:eastAsia="Times New Roman" w:hAnsi="Verdana" w:cs="Calibri"/>
                <w:b/>
                <w:bCs/>
                <w:color w:val="000000"/>
                <w:lang w:eastAsia="en-GB"/>
              </w:rPr>
              <w:t>20</w:t>
            </w:r>
          </w:p>
        </w:tc>
        <w:tc>
          <w:tcPr>
            <w:tcW w:w="1500" w:type="dxa"/>
            <w:tcBorders>
              <w:top w:val="single" w:sz="4" w:space="0" w:color="auto"/>
              <w:left w:val="nil"/>
              <w:bottom w:val="single" w:sz="8" w:space="0" w:color="auto"/>
              <w:right w:val="single" w:sz="8" w:space="0" w:color="auto"/>
            </w:tcBorders>
            <w:shd w:val="clear" w:color="auto" w:fill="C5E0B3" w:themeFill="accent6" w:themeFillTint="66"/>
            <w:hideMark/>
          </w:tcPr>
          <w:p w14:paraId="0244246F" w14:textId="77777777" w:rsidR="008D6DEA" w:rsidRPr="00830A89" w:rsidRDefault="008D6DEA" w:rsidP="008D6DEA">
            <w:pPr>
              <w:spacing w:after="0" w:line="240" w:lineRule="auto"/>
              <w:rPr>
                <w:rFonts w:ascii="Verdana" w:eastAsia="Times New Roman" w:hAnsi="Verdana" w:cs="Calibri"/>
                <w:b/>
                <w:bCs/>
                <w:color w:val="000000"/>
                <w:lang w:eastAsia="en-GB"/>
              </w:rPr>
            </w:pPr>
            <w:r w:rsidRPr="00830A89">
              <w:rPr>
                <w:rFonts w:ascii="Verdana" w:eastAsia="Times New Roman" w:hAnsi="Verdana" w:cs="Calibri"/>
                <w:b/>
                <w:bCs/>
                <w:color w:val="000000"/>
                <w:lang w:eastAsia="en-GB"/>
              </w:rPr>
              <w:t>20</w:t>
            </w:r>
            <w:r>
              <w:rPr>
                <w:rFonts w:ascii="Verdana" w:eastAsia="Times New Roman" w:hAnsi="Verdana" w:cs="Calibri"/>
                <w:b/>
                <w:bCs/>
                <w:color w:val="000000"/>
                <w:lang w:eastAsia="en-GB"/>
              </w:rPr>
              <w:t>20</w:t>
            </w:r>
            <w:r w:rsidRPr="00830A89">
              <w:rPr>
                <w:rFonts w:ascii="Verdana" w:eastAsia="Times New Roman" w:hAnsi="Verdana" w:cs="Calibri"/>
                <w:b/>
                <w:bCs/>
                <w:color w:val="000000"/>
                <w:lang w:eastAsia="en-GB"/>
              </w:rPr>
              <w:t>-</w:t>
            </w:r>
            <w:r>
              <w:rPr>
                <w:rFonts w:ascii="Verdana" w:eastAsia="Times New Roman" w:hAnsi="Verdana" w:cs="Calibri"/>
                <w:b/>
                <w:bCs/>
                <w:color w:val="000000"/>
                <w:lang w:eastAsia="en-GB"/>
              </w:rPr>
              <w:t>21</w:t>
            </w:r>
          </w:p>
        </w:tc>
      </w:tr>
      <w:tr w:rsidR="008D6DEA" w:rsidRPr="00B50CFB" w14:paraId="472C6DE4"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FFFF00"/>
            <w:hideMark/>
          </w:tcPr>
          <w:p w14:paraId="3F7A9456" w14:textId="77777777" w:rsidR="008D6DEA" w:rsidRPr="00A0698B" w:rsidRDefault="008D6DEA" w:rsidP="008D6DEA">
            <w:pPr>
              <w:spacing w:after="0" w:line="240" w:lineRule="auto"/>
              <w:rPr>
                <w:rFonts w:ascii="Verdana" w:eastAsia="Times New Roman" w:hAnsi="Verdana" w:cs="Calibri"/>
                <w:b/>
                <w:color w:val="000000"/>
                <w:lang w:eastAsia="en-GB"/>
              </w:rPr>
            </w:pPr>
            <w:r w:rsidRPr="00A0698B">
              <w:rPr>
                <w:rFonts w:ascii="Verdana" w:eastAsia="Times New Roman" w:hAnsi="Verdana" w:cs="Calibri"/>
                <w:b/>
                <w:color w:val="000000"/>
                <w:lang w:eastAsia="en-GB"/>
              </w:rPr>
              <w:t>Buckinghamshire</w:t>
            </w:r>
          </w:p>
        </w:tc>
        <w:tc>
          <w:tcPr>
            <w:tcW w:w="1442" w:type="dxa"/>
            <w:tcBorders>
              <w:top w:val="nil"/>
              <w:left w:val="nil"/>
              <w:bottom w:val="single" w:sz="8" w:space="0" w:color="auto"/>
              <w:right w:val="single" w:sz="8" w:space="0" w:color="auto"/>
            </w:tcBorders>
            <w:shd w:val="clear" w:color="auto" w:fill="FFFF00"/>
          </w:tcPr>
          <w:p w14:paraId="5C999029" w14:textId="77777777" w:rsidR="008D6DEA" w:rsidRPr="00A0698B" w:rsidRDefault="008D6DEA" w:rsidP="008D6DEA">
            <w:pPr>
              <w:spacing w:after="0" w:line="240" w:lineRule="auto"/>
              <w:jc w:val="right"/>
              <w:rPr>
                <w:rFonts w:ascii="Verdana" w:eastAsia="Times New Roman" w:hAnsi="Verdana" w:cs="Calibri"/>
                <w:b/>
                <w:color w:val="000000"/>
                <w:lang w:eastAsia="en-GB"/>
              </w:rPr>
            </w:pPr>
            <w:r w:rsidRPr="00A0698B">
              <w:rPr>
                <w:rFonts w:ascii="Verdana" w:eastAsia="Times New Roman" w:hAnsi="Verdana" w:cs="Calibri"/>
                <w:b/>
                <w:color w:val="000000"/>
                <w:lang w:eastAsia="en-GB"/>
              </w:rPr>
              <w:t>5</w:t>
            </w:r>
          </w:p>
        </w:tc>
        <w:tc>
          <w:tcPr>
            <w:tcW w:w="1500" w:type="dxa"/>
            <w:tcBorders>
              <w:top w:val="nil"/>
              <w:left w:val="nil"/>
              <w:bottom w:val="single" w:sz="8" w:space="0" w:color="auto"/>
              <w:right w:val="single" w:sz="8" w:space="0" w:color="auto"/>
            </w:tcBorders>
            <w:shd w:val="clear" w:color="auto" w:fill="FFFF00"/>
            <w:noWrap/>
          </w:tcPr>
          <w:p w14:paraId="0A3C5242" w14:textId="77777777" w:rsidR="008D6DEA" w:rsidRPr="00A0698B" w:rsidRDefault="008D6DEA" w:rsidP="008D6DEA">
            <w:pPr>
              <w:spacing w:after="0" w:line="240" w:lineRule="auto"/>
              <w:jc w:val="right"/>
              <w:rPr>
                <w:rFonts w:ascii="Verdana" w:eastAsia="Times New Roman" w:hAnsi="Verdana" w:cs="Calibri"/>
                <w:b/>
                <w:color w:val="000000"/>
                <w:lang w:eastAsia="en-GB"/>
              </w:rPr>
            </w:pPr>
            <w:r w:rsidRPr="00A0698B">
              <w:rPr>
                <w:rFonts w:ascii="Verdana" w:eastAsia="Times New Roman" w:hAnsi="Verdana" w:cs="Calibri"/>
                <w:b/>
                <w:color w:val="000000"/>
                <w:lang w:eastAsia="en-GB"/>
              </w:rPr>
              <w:t>4</w:t>
            </w:r>
          </w:p>
        </w:tc>
      </w:tr>
      <w:tr w:rsidR="008D6DEA" w:rsidRPr="00B50CFB" w14:paraId="2B9131CE"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E809B59"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Northamptonshire</w:t>
            </w:r>
          </w:p>
        </w:tc>
        <w:tc>
          <w:tcPr>
            <w:tcW w:w="1442" w:type="dxa"/>
            <w:tcBorders>
              <w:top w:val="nil"/>
              <w:left w:val="nil"/>
              <w:bottom w:val="single" w:sz="8" w:space="0" w:color="auto"/>
              <w:right w:val="single" w:sz="8" w:space="0" w:color="auto"/>
            </w:tcBorders>
            <w:shd w:val="clear" w:color="auto" w:fill="auto"/>
          </w:tcPr>
          <w:p w14:paraId="76D45ECD" w14:textId="77777777" w:rsidR="008D6DEA" w:rsidRPr="00830A89" w:rsidRDefault="008D6DEA" w:rsidP="008D6DEA">
            <w:pPr>
              <w:spacing w:after="0" w:line="240" w:lineRule="auto"/>
              <w:jc w:val="right"/>
              <w:rPr>
                <w:rFonts w:ascii="Verdana" w:eastAsia="Times New Roman" w:hAnsi="Verdana" w:cs="Calibri"/>
                <w:color w:val="000000"/>
                <w:lang w:eastAsia="en-GB"/>
              </w:rPr>
            </w:pPr>
            <w:r w:rsidRPr="00830A89">
              <w:rPr>
                <w:rFonts w:ascii="Verdana" w:eastAsia="Times New Roman" w:hAnsi="Verdana" w:cs="Calibri"/>
                <w:color w:val="000000"/>
                <w:lang w:eastAsia="en-GB"/>
              </w:rPr>
              <w:t>7</w:t>
            </w:r>
          </w:p>
        </w:tc>
        <w:tc>
          <w:tcPr>
            <w:tcW w:w="1500" w:type="dxa"/>
            <w:tcBorders>
              <w:top w:val="nil"/>
              <w:left w:val="nil"/>
              <w:bottom w:val="single" w:sz="8" w:space="0" w:color="auto"/>
              <w:right w:val="single" w:sz="8" w:space="0" w:color="auto"/>
            </w:tcBorders>
            <w:shd w:val="clear" w:color="auto" w:fill="auto"/>
            <w:noWrap/>
          </w:tcPr>
          <w:p w14:paraId="4C45C486"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r>
      <w:tr w:rsidR="008D6DEA" w:rsidRPr="00B50CFB" w14:paraId="6A037F80"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C307F9A"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Warwickshire</w:t>
            </w:r>
          </w:p>
        </w:tc>
        <w:tc>
          <w:tcPr>
            <w:tcW w:w="1442" w:type="dxa"/>
            <w:tcBorders>
              <w:top w:val="nil"/>
              <w:left w:val="nil"/>
              <w:bottom w:val="single" w:sz="8" w:space="0" w:color="auto"/>
              <w:right w:val="single" w:sz="8" w:space="0" w:color="auto"/>
            </w:tcBorders>
            <w:shd w:val="clear" w:color="auto" w:fill="auto"/>
          </w:tcPr>
          <w:p w14:paraId="6B9C39FE"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c>
          <w:tcPr>
            <w:tcW w:w="1500" w:type="dxa"/>
            <w:tcBorders>
              <w:top w:val="nil"/>
              <w:left w:val="nil"/>
              <w:bottom w:val="single" w:sz="8" w:space="0" w:color="auto"/>
              <w:right w:val="single" w:sz="8" w:space="0" w:color="auto"/>
            </w:tcBorders>
            <w:shd w:val="clear" w:color="auto" w:fill="auto"/>
            <w:noWrap/>
          </w:tcPr>
          <w:p w14:paraId="6369B9A3"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r>
      <w:tr w:rsidR="008D6DEA" w:rsidRPr="00B50CFB" w14:paraId="1DBCEB1B"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33F30D0" w14:textId="77777777" w:rsidR="008D6DEA" w:rsidRPr="00A0698B" w:rsidRDefault="008D6DEA" w:rsidP="008D6DEA">
            <w:pPr>
              <w:spacing w:after="0" w:line="240" w:lineRule="auto"/>
              <w:rPr>
                <w:rFonts w:ascii="Verdana" w:eastAsia="Times New Roman" w:hAnsi="Verdana" w:cs="Calibri"/>
                <w:bCs/>
                <w:color w:val="000000"/>
                <w:lang w:eastAsia="en-GB"/>
              </w:rPr>
            </w:pPr>
            <w:r>
              <w:rPr>
                <w:rFonts w:ascii="Verdana" w:eastAsia="Times New Roman" w:hAnsi="Verdana" w:cs="Calibri"/>
                <w:bCs/>
                <w:color w:val="000000"/>
                <w:lang w:eastAsia="en-GB"/>
              </w:rPr>
              <w:t>Suffolk</w:t>
            </w:r>
          </w:p>
        </w:tc>
        <w:tc>
          <w:tcPr>
            <w:tcW w:w="1442" w:type="dxa"/>
            <w:tcBorders>
              <w:top w:val="nil"/>
              <w:left w:val="nil"/>
              <w:bottom w:val="single" w:sz="8" w:space="0" w:color="auto"/>
              <w:right w:val="single" w:sz="8" w:space="0" w:color="auto"/>
            </w:tcBorders>
            <w:shd w:val="clear" w:color="auto" w:fill="auto"/>
          </w:tcPr>
          <w:p w14:paraId="4A4050D6" w14:textId="77777777" w:rsidR="008D6DEA" w:rsidRPr="00A0698B" w:rsidRDefault="008D6DEA" w:rsidP="008D6DEA">
            <w:pPr>
              <w:spacing w:after="0" w:line="240" w:lineRule="auto"/>
              <w:jc w:val="right"/>
              <w:rPr>
                <w:rFonts w:ascii="Verdana" w:eastAsia="Times New Roman" w:hAnsi="Verdana" w:cs="Calibri"/>
                <w:bCs/>
                <w:color w:val="000000"/>
                <w:lang w:eastAsia="en-GB"/>
              </w:rPr>
            </w:pPr>
            <w:r w:rsidRPr="00A0698B">
              <w:rPr>
                <w:rFonts w:ascii="Verdana" w:eastAsia="Times New Roman" w:hAnsi="Verdana" w:cs="Calibri"/>
                <w:bCs/>
                <w:color w:val="000000"/>
                <w:lang w:eastAsia="en-GB"/>
              </w:rPr>
              <w:t>6</w:t>
            </w:r>
          </w:p>
        </w:tc>
        <w:tc>
          <w:tcPr>
            <w:tcW w:w="1500" w:type="dxa"/>
            <w:tcBorders>
              <w:top w:val="nil"/>
              <w:left w:val="nil"/>
              <w:bottom w:val="single" w:sz="8" w:space="0" w:color="auto"/>
              <w:right w:val="single" w:sz="8" w:space="0" w:color="auto"/>
            </w:tcBorders>
            <w:shd w:val="clear" w:color="auto" w:fill="auto"/>
            <w:noWrap/>
          </w:tcPr>
          <w:p w14:paraId="206A0134" w14:textId="77777777" w:rsidR="008D6DEA" w:rsidRPr="00A0698B" w:rsidRDefault="008D6DEA" w:rsidP="008D6DEA">
            <w:pPr>
              <w:spacing w:after="0" w:line="240" w:lineRule="auto"/>
              <w:jc w:val="right"/>
              <w:rPr>
                <w:rFonts w:ascii="Verdana" w:eastAsia="Times New Roman" w:hAnsi="Verdana" w:cs="Calibri"/>
                <w:bCs/>
                <w:color w:val="000000"/>
                <w:lang w:eastAsia="en-GB"/>
              </w:rPr>
            </w:pPr>
            <w:r w:rsidRPr="00A0698B">
              <w:rPr>
                <w:rFonts w:ascii="Verdana" w:eastAsia="Times New Roman" w:hAnsi="Verdana" w:cs="Calibri"/>
                <w:bCs/>
                <w:color w:val="000000"/>
                <w:lang w:eastAsia="en-GB"/>
              </w:rPr>
              <w:t>5</w:t>
            </w:r>
          </w:p>
        </w:tc>
      </w:tr>
      <w:tr w:rsidR="008D6DEA" w:rsidRPr="00B50CFB" w14:paraId="3E79C3CD"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3941BA9"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Berkshire</w:t>
            </w:r>
          </w:p>
        </w:tc>
        <w:tc>
          <w:tcPr>
            <w:tcW w:w="1442" w:type="dxa"/>
            <w:tcBorders>
              <w:top w:val="nil"/>
              <w:left w:val="nil"/>
              <w:bottom w:val="single" w:sz="8" w:space="0" w:color="auto"/>
              <w:right w:val="single" w:sz="8" w:space="0" w:color="auto"/>
            </w:tcBorders>
            <w:shd w:val="clear" w:color="auto" w:fill="auto"/>
          </w:tcPr>
          <w:p w14:paraId="13F60CB9"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c>
          <w:tcPr>
            <w:tcW w:w="1500" w:type="dxa"/>
            <w:tcBorders>
              <w:top w:val="nil"/>
              <w:left w:val="nil"/>
              <w:bottom w:val="single" w:sz="8" w:space="0" w:color="auto"/>
              <w:right w:val="single" w:sz="8" w:space="0" w:color="auto"/>
            </w:tcBorders>
            <w:shd w:val="clear" w:color="auto" w:fill="auto"/>
            <w:noWrap/>
          </w:tcPr>
          <w:p w14:paraId="6152BF17"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w:t>
            </w:r>
          </w:p>
        </w:tc>
      </w:tr>
      <w:tr w:rsidR="008D6DEA" w:rsidRPr="00B50CFB" w14:paraId="6530CEFD" w14:textId="77777777" w:rsidTr="008D6DEA">
        <w:trPr>
          <w:trHeight w:val="388"/>
        </w:trPr>
        <w:tc>
          <w:tcPr>
            <w:tcW w:w="2358" w:type="dxa"/>
            <w:tcBorders>
              <w:top w:val="nil"/>
              <w:left w:val="single" w:sz="8" w:space="0" w:color="auto"/>
              <w:bottom w:val="single" w:sz="8" w:space="0" w:color="auto"/>
              <w:right w:val="single" w:sz="8" w:space="0" w:color="auto"/>
            </w:tcBorders>
            <w:shd w:val="clear" w:color="auto" w:fill="auto"/>
            <w:hideMark/>
          </w:tcPr>
          <w:p w14:paraId="60595F45"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West Sussex</w:t>
            </w:r>
          </w:p>
        </w:tc>
        <w:tc>
          <w:tcPr>
            <w:tcW w:w="1442" w:type="dxa"/>
            <w:tcBorders>
              <w:top w:val="nil"/>
              <w:left w:val="nil"/>
              <w:bottom w:val="single" w:sz="8" w:space="0" w:color="auto"/>
              <w:right w:val="single" w:sz="8" w:space="0" w:color="auto"/>
            </w:tcBorders>
            <w:shd w:val="clear" w:color="auto" w:fill="auto"/>
          </w:tcPr>
          <w:p w14:paraId="5FA8C510"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5</w:t>
            </w:r>
          </w:p>
        </w:tc>
        <w:tc>
          <w:tcPr>
            <w:tcW w:w="1500" w:type="dxa"/>
            <w:tcBorders>
              <w:top w:val="nil"/>
              <w:left w:val="nil"/>
              <w:bottom w:val="single" w:sz="8" w:space="0" w:color="auto"/>
              <w:right w:val="single" w:sz="8" w:space="0" w:color="auto"/>
            </w:tcBorders>
            <w:shd w:val="clear" w:color="auto" w:fill="auto"/>
            <w:noWrap/>
          </w:tcPr>
          <w:p w14:paraId="689CDF56"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r>
      <w:tr w:rsidR="008D6DEA" w:rsidRPr="00B50CFB" w14:paraId="0690FD47" w14:textId="77777777" w:rsidTr="008D6DEA">
        <w:trPr>
          <w:trHeight w:val="411"/>
        </w:trPr>
        <w:tc>
          <w:tcPr>
            <w:tcW w:w="2358" w:type="dxa"/>
            <w:tcBorders>
              <w:top w:val="nil"/>
              <w:left w:val="single" w:sz="8" w:space="0" w:color="auto"/>
              <w:bottom w:val="single" w:sz="8" w:space="0" w:color="auto"/>
              <w:right w:val="single" w:sz="8" w:space="0" w:color="auto"/>
            </w:tcBorders>
            <w:shd w:val="clear" w:color="auto" w:fill="auto"/>
            <w:hideMark/>
          </w:tcPr>
          <w:p w14:paraId="1C81BD91"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Bedfordshire</w:t>
            </w:r>
          </w:p>
        </w:tc>
        <w:tc>
          <w:tcPr>
            <w:tcW w:w="1442" w:type="dxa"/>
            <w:tcBorders>
              <w:top w:val="nil"/>
              <w:left w:val="nil"/>
              <w:bottom w:val="single" w:sz="8" w:space="0" w:color="auto"/>
              <w:right w:val="single" w:sz="8" w:space="0" w:color="auto"/>
            </w:tcBorders>
            <w:shd w:val="clear" w:color="auto" w:fill="auto"/>
          </w:tcPr>
          <w:p w14:paraId="38522E9B"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p>
        </w:tc>
        <w:tc>
          <w:tcPr>
            <w:tcW w:w="1500" w:type="dxa"/>
            <w:tcBorders>
              <w:top w:val="nil"/>
              <w:left w:val="nil"/>
              <w:bottom w:val="single" w:sz="8" w:space="0" w:color="auto"/>
              <w:right w:val="single" w:sz="8" w:space="0" w:color="auto"/>
            </w:tcBorders>
            <w:shd w:val="clear" w:color="auto" w:fill="auto"/>
            <w:noWrap/>
          </w:tcPr>
          <w:p w14:paraId="43D2BC5C"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10</w:t>
            </w:r>
          </w:p>
        </w:tc>
      </w:tr>
      <w:tr w:rsidR="008D6DEA" w:rsidRPr="00B50CFB" w14:paraId="76490266"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35136D5"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Oxfordshire</w:t>
            </w:r>
          </w:p>
        </w:tc>
        <w:tc>
          <w:tcPr>
            <w:tcW w:w="1442" w:type="dxa"/>
            <w:tcBorders>
              <w:top w:val="nil"/>
              <w:left w:val="nil"/>
              <w:bottom w:val="single" w:sz="8" w:space="0" w:color="auto"/>
              <w:right w:val="single" w:sz="8" w:space="0" w:color="auto"/>
            </w:tcBorders>
            <w:shd w:val="clear" w:color="auto" w:fill="auto"/>
          </w:tcPr>
          <w:p w14:paraId="5DB13908"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11</w:t>
            </w:r>
          </w:p>
        </w:tc>
        <w:tc>
          <w:tcPr>
            <w:tcW w:w="1500" w:type="dxa"/>
            <w:tcBorders>
              <w:top w:val="nil"/>
              <w:left w:val="nil"/>
              <w:bottom w:val="single" w:sz="8" w:space="0" w:color="auto"/>
              <w:right w:val="single" w:sz="8" w:space="0" w:color="auto"/>
            </w:tcBorders>
            <w:shd w:val="clear" w:color="auto" w:fill="auto"/>
            <w:noWrap/>
          </w:tcPr>
          <w:p w14:paraId="72E5D5D3"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10</w:t>
            </w:r>
          </w:p>
        </w:tc>
      </w:tr>
      <w:tr w:rsidR="008D6DEA" w:rsidRPr="00B50CFB" w14:paraId="54ADA221"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9EE01E8"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Hereford and Worcester</w:t>
            </w:r>
          </w:p>
        </w:tc>
        <w:tc>
          <w:tcPr>
            <w:tcW w:w="1442" w:type="dxa"/>
            <w:tcBorders>
              <w:top w:val="nil"/>
              <w:left w:val="nil"/>
              <w:bottom w:val="single" w:sz="8" w:space="0" w:color="auto"/>
              <w:right w:val="single" w:sz="8" w:space="0" w:color="auto"/>
            </w:tcBorders>
            <w:shd w:val="clear" w:color="auto" w:fill="auto"/>
          </w:tcPr>
          <w:p w14:paraId="6ACC0F0D" w14:textId="77777777" w:rsidR="008D6DEA" w:rsidRPr="00830A89" w:rsidRDefault="008D6DEA" w:rsidP="008D6DEA">
            <w:pPr>
              <w:spacing w:after="0" w:line="240" w:lineRule="auto"/>
              <w:jc w:val="right"/>
              <w:rPr>
                <w:rFonts w:ascii="Verdana" w:eastAsia="Times New Roman" w:hAnsi="Verdana" w:cs="Calibri"/>
                <w:color w:val="000000"/>
                <w:lang w:eastAsia="en-GB"/>
              </w:rPr>
            </w:pPr>
            <w:r w:rsidRPr="00830A89">
              <w:rPr>
                <w:rFonts w:ascii="Verdana" w:eastAsia="Times New Roman" w:hAnsi="Verdana" w:cs="Calibri"/>
                <w:color w:val="000000"/>
                <w:lang w:eastAsia="en-GB"/>
              </w:rPr>
              <w:t>1</w:t>
            </w:r>
            <w:r>
              <w:rPr>
                <w:rFonts w:ascii="Verdana" w:eastAsia="Times New Roman" w:hAnsi="Verdana" w:cs="Calibri"/>
                <w:color w:val="000000"/>
                <w:lang w:eastAsia="en-GB"/>
              </w:rPr>
              <w:t>2</w:t>
            </w:r>
          </w:p>
        </w:tc>
        <w:tc>
          <w:tcPr>
            <w:tcW w:w="1500" w:type="dxa"/>
            <w:tcBorders>
              <w:top w:val="nil"/>
              <w:left w:val="nil"/>
              <w:bottom w:val="single" w:sz="8" w:space="0" w:color="auto"/>
              <w:right w:val="single" w:sz="8" w:space="0" w:color="auto"/>
            </w:tcBorders>
            <w:shd w:val="clear" w:color="auto" w:fill="auto"/>
            <w:noWrap/>
          </w:tcPr>
          <w:p w14:paraId="316A4389"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15</w:t>
            </w:r>
          </w:p>
        </w:tc>
      </w:tr>
      <w:tr w:rsidR="008D6DEA" w:rsidRPr="00B50CFB" w14:paraId="6472675B"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431B125"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Norfolk</w:t>
            </w:r>
          </w:p>
        </w:tc>
        <w:tc>
          <w:tcPr>
            <w:tcW w:w="1442" w:type="dxa"/>
            <w:tcBorders>
              <w:top w:val="nil"/>
              <w:left w:val="nil"/>
              <w:bottom w:val="single" w:sz="8" w:space="0" w:color="auto"/>
              <w:right w:val="single" w:sz="8" w:space="0" w:color="auto"/>
            </w:tcBorders>
            <w:shd w:val="clear" w:color="auto" w:fill="auto"/>
          </w:tcPr>
          <w:p w14:paraId="21659429" w14:textId="77777777" w:rsidR="008D6DEA" w:rsidRPr="00830A89" w:rsidRDefault="008D6DEA" w:rsidP="008D6DEA">
            <w:pPr>
              <w:spacing w:after="0" w:line="240" w:lineRule="auto"/>
              <w:jc w:val="right"/>
              <w:rPr>
                <w:rFonts w:ascii="Verdana" w:eastAsia="Times New Roman" w:hAnsi="Verdana" w:cs="Calibri"/>
                <w:color w:val="000000"/>
                <w:lang w:eastAsia="en-GB"/>
              </w:rPr>
            </w:pPr>
            <w:r w:rsidRPr="00830A89">
              <w:rPr>
                <w:rFonts w:ascii="Verdana" w:eastAsia="Times New Roman" w:hAnsi="Verdana" w:cs="Calibri"/>
                <w:color w:val="000000"/>
                <w:lang w:eastAsia="en-GB"/>
              </w:rPr>
              <w:t>1</w:t>
            </w:r>
            <w:r>
              <w:rPr>
                <w:rFonts w:ascii="Verdana" w:eastAsia="Times New Roman" w:hAnsi="Verdana" w:cs="Calibri"/>
                <w:color w:val="000000"/>
                <w:lang w:eastAsia="en-GB"/>
              </w:rPr>
              <w:t>9</w:t>
            </w:r>
          </w:p>
        </w:tc>
        <w:tc>
          <w:tcPr>
            <w:tcW w:w="1500" w:type="dxa"/>
            <w:tcBorders>
              <w:top w:val="nil"/>
              <w:left w:val="nil"/>
              <w:bottom w:val="single" w:sz="8" w:space="0" w:color="auto"/>
              <w:right w:val="single" w:sz="8" w:space="0" w:color="auto"/>
            </w:tcBorders>
            <w:shd w:val="clear" w:color="auto" w:fill="auto"/>
            <w:noWrap/>
          </w:tcPr>
          <w:p w14:paraId="50F1B9D1"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16</w:t>
            </w:r>
          </w:p>
        </w:tc>
      </w:tr>
      <w:tr w:rsidR="008D6DEA" w:rsidRPr="00B50CFB" w14:paraId="486E332F"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13F4057F" w14:textId="77777777" w:rsidR="008D6DEA" w:rsidRPr="00830A89"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East Sussex</w:t>
            </w:r>
          </w:p>
        </w:tc>
        <w:tc>
          <w:tcPr>
            <w:tcW w:w="1442" w:type="dxa"/>
            <w:tcBorders>
              <w:top w:val="nil"/>
              <w:left w:val="nil"/>
              <w:bottom w:val="single" w:sz="8" w:space="0" w:color="auto"/>
              <w:right w:val="single" w:sz="8" w:space="0" w:color="auto"/>
            </w:tcBorders>
            <w:shd w:val="clear" w:color="auto" w:fill="auto"/>
          </w:tcPr>
          <w:p w14:paraId="1383A125"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19</w:t>
            </w:r>
          </w:p>
        </w:tc>
        <w:tc>
          <w:tcPr>
            <w:tcW w:w="1500" w:type="dxa"/>
            <w:tcBorders>
              <w:top w:val="nil"/>
              <w:left w:val="nil"/>
              <w:bottom w:val="single" w:sz="8" w:space="0" w:color="auto"/>
              <w:right w:val="single" w:sz="8" w:space="0" w:color="auto"/>
            </w:tcBorders>
            <w:shd w:val="clear" w:color="auto" w:fill="auto"/>
            <w:noWrap/>
          </w:tcPr>
          <w:p w14:paraId="3BC9D146"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18</w:t>
            </w:r>
          </w:p>
        </w:tc>
      </w:tr>
      <w:tr w:rsidR="008D6DEA" w:rsidRPr="00B50CFB" w14:paraId="5BB1FDE6"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46AE7A39" w14:textId="77777777" w:rsidR="008D6DEA" w:rsidRPr="00830A89" w:rsidRDefault="008D6DEA" w:rsidP="008D6DEA">
            <w:pPr>
              <w:spacing w:after="0" w:line="240" w:lineRule="auto"/>
              <w:rPr>
                <w:rFonts w:ascii="Verdana" w:eastAsia="Times New Roman" w:hAnsi="Verdana" w:cs="Calibri"/>
                <w:color w:val="000000"/>
                <w:lang w:eastAsia="en-GB"/>
              </w:rPr>
            </w:pPr>
            <w:r w:rsidRPr="00830A89">
              <w:rPr>
                <w:rFonts w:ascii="Verdana" w:eastAsia="Times New Roman" w:hAnsi="Verdana" w:cs="Calibri"/>
                <w:color w:val="000000"/>
                <w:lang w:eastAsia="en-GB"/>
              </w:rPr>
              <w:t>Cambridgeshire</w:t>
            </w:r>
          </w:p>
        </w:tc>
        <w:tc>
          <w:tcPr>
            <w:tcW w:w="1442" w:type="dxa"/>
            <w:tcBorders>
              <w:top w:val="nil"/>
              <w:left w:val="nil"/>
              <w:bottom w:val="single" w:sz="8" w:space="0" w:color="auto"/>
              <w:right w:val="single" w:sz="8" w:space="0" w:color="auto"/>
            </w:tcBorders>
            <w:shd w:val="clear" w:color="auto" w:fill="auto"/>
          </w:tcPr>
          <w:p w14:paraId="2E93C8FB"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34</w:t>
            </w:r>
          </w:p>
        </w:tc>
        <w:tc>
          <w:tcPr>
            <w:tcW w:w="1500" w:type="dxa"/>
            <w:tcBorders>
              <w:top w:val="nil"/>
              <w:left w:val="nil"/>
              <w:bottom w:val="single" w:sz="8" w:space="0" w:color="auto"/>
              <w:right w:val="single" w:sz="8" w:space="0" w:color="auto"/>
            </w:tcBorders>
            <w:shd w:val="clear" w:color="auto" w:fill="auto"/>
            <w:noWrap/>
          </w:tcPr>
          <w:p w14:paraId="76920AB7" w14:textId="77777777" w:rsidR="008D6DEA" w:rsidRPr="00830A89"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25</w:t>
            </w:r>
          </w:p>
        </w:tc>
      </w:tr>
    </w:tbl>
    <w:p w14:paraId="0670372A" w14:textId="4C8D1639" w:rsidR="00BD6A0F" w:rsidRDefault="00BD6A0F" w:rsidP="00B80FBD">
      <w:pPr>
        <w:rPr>
          <w:rFonts w:ascii="Verdana" w:eastAsia="Times New Roman" w:hAnsi="Verdana" w:cs="Times New Roman"/>
          <w:highlight w:val="yellow"/>
          <w:lang w:eastAsia="en-GB"/>
        </w:rPr>
      </w:pPr>
    </w:p>
    <w:p w14:paraId="5B9A7773" w14:textId="77777777" w:rsidR="00E11BDE" w:rsidRDefault="00E11BDE" w:rsidP="00B80FBD">
      <w:pPr>
        <w:rPr>
          <w:rFonts w:ascii="Verdana" w:eastAsia="Times New Roman" w:hAnsi="Verdana" w:cs="Times New Roman"/>
          <w:highlight w:val="yellow"/>
          <w:lang w:eastAsia="en-GB"/>
        </w:rPr>
      </w:pPr>
    </w:p>
    <w:p w14:paraId="594D957B" w14:textId="106C791C" w:rsidR="00E11BDE" w:rsidRDefault="00E11BDE" w:rsidP="00B80FBD">
      <w:pPr>
        <w:rPr>
          <w:rFonts w:ascii="Verdana" w:eastAsia="Times New Roman" w:hAnsi="Verdana" w:cs="Times New Roman"/>
          <w:highlight w:val="yellow"/>
          <w:lang w:eastAsia="en-GB"/>
        </w:rPr>
      </w:pPr>
    </w:p>
    <w:p w14:paraId="2C6EF074" w14:textId="370B5E58" w:rsidR="00E11BDE" w:rsidRDefault="00E11BDE" w:rsidP="00B80FBD">
      <w:pPr>
        <w:rPr>
          <w:rFonts w:ascii="Verdana" w:eastAsia="Times New Roman" w:hAnsi="Verdana" w:cs="Times New Roman"/>
          <w:highlight w:val="yellow"/>
          <w:lang w:eastAsia="en-GB"/>
        </w:rPr>
      </w:pPr>
    </w:p>
    <w:p w14:paraId="4A2F2564" w14:textId="0DBA5BDA" w:rsidR="00E11BDE" w:rsidRDefault="00E11BDE" w:rsidP="00B80FBD">
      <w:pPr>
        <w:rPr>
          <w:rFonts w:ascii="Verdana" w:eastAsia="Times New Roman" w:hAnsi="Verdana" w:cs="Times New Roman"/>
          <w:highlight w:val="yellow"/>
          <w:lang w:eastAsia="en-GB"/>
        </w:rPr>
      </w:pPr>
    </w:p>
    <w:p w14:paraId="41626A99" w14:textId="77777777" w:rsidR="00E11BDE" w:rsidRDefault="00E11BDE" w:rsidP="00B80FBD">
      <w:pPr>
        <w:rPr>
          <w:rFonts w:ascii="Verdana" w:eastAsia="Times New Roman" w:hAnsi="Verdana" w:cs="Times New Roman"/>
          <w:highlight w:val="yellow"/>
          <w:lang w:eastAsia="en-GB"/>
        </w:rPr>
      </w:pPr>
    </w:p>
    <w:p w14:paraId="3D51A146" w14:textId="7FA4E041" w:rsidR="00E11BDE" w:rsidRDefault="00E11BDE" w:rsidP="00B80FBD">
      <w:pPr>
        <w:rPr>
          <w:rFonts w:ascii="Verdana" w:eastAsia="Times New Roman" w:hAnsi="Verdana" w:cs="Times New Roman"/>
          <w:highlight w:val="yellow"/>
          <w:lang w:eastAsia="en-GB"/>
        </w:rPr>
      </w:pPr>
    </w:p>
    <w:p w14:paraId="733C180B" w14:textId="707CB3A6" w:rsidR="00E11BDE" w:rsidRDefault="00E11BDE" w:rsidP="00B80FBD">
      <w:pPr>
        <w:rPr>
          <w:rFonts w:ascii="Verdana" w:eastAsia="Times New Roman" w:hAnsi="Verdana" w:cs="Times New Roman"/>
          <w:highlight w:val="yellow"/>
          <w:lang w:eastAsia="en-GB"/>
        </w:rPr>
      </w:pPr>
    </w:p>
    <w:p w14:paraId="7B04DC0A" w14:textId="047A6BD7" w:rsidR="008D6DEA" w:rsidRDefault="008D6DEA" w:rsidP="00B80FBD">
      <w:pPr>
        <w:rPr>
          <w:rFonts w:ascii="Verdana" w:eastAsia="Times New Roman" w:hAnsi="Verdana" w:cs="Times New Roman"/>
          <w:highlight w:val="yellow"/>
          <w:lang w:eastAsia="en-GB"/>
        </w:rPr>
      </w:pPr>
    </w:p>
    <w:p w14:paraId="6787C27D" w14:textId="5E3D15C4" w:rsidR="008D6DEA" w:rsidRDefault="008D6DEA" w:rsidP="00B80FBD">
      <w:pPr>
        <w:rPr>
          <w:rFonts w:ascii="Verdana" w:eastAsia="Times New Roman" w:hAnsi="Verdana" w:cs="Times New Roman"/>
          <w:highlight w:val="yellow"/>
          <w:lang w:eastAsia="en-GB"/>
        </w:rPr>
      </w:pPr>
    </w:p>
    <w:p w14:paraId="6878F0AB" w14:textId="02B5C29E" w:rsidR="008D6DEA" w:rsidRDefault="008D6DEA" w:rsidP="00B80FBD">
      <w:pPr>
        <w:rPr>
          <w:rFonts w:ascii="Verdana" w:eastAsia="Times New Roman" w:hAnsi="Verdana" w:cs="Times New Roman"/>
          <w:highlight w:val="yellow"/>
          <w:lang w:eastAsia="en-GB"/>
        </w:rPr>
      </w:pPr>
    </w:p>
    <w:p w14:paraId="1A00F611" w14:textId="77777777" w:rsidR="00432A8D" w:rsidRPr="00B50CFB" w:rsidRDefault="00432A8D" w:rsidP="00B80FBD">
      <w:pPr>
        <w:rPr>
          <w:rFonts w:ascii="Verdana" w:eastAsia="Times New Roman" w:hAnsi="Verdana" w:cs="Times New Roman"/>
          <w:highlight w:val="yellow"/>
          <w:lang w:eastAsia="en-GB"/>
        </w:rPr>
      </w:pPr>
    </w:p>
    <w:p w14:paraId="31EC994F" w14:textId="77777777" w:rsidR="00432A8D" w:rsidRPr="00B50CFB" w:rsidRDefault="00432A8D" w:rsidP="00B80FBD">
      <w:pPr>
        <w:rPr>
          <w:rFonts w:ascii="Verdana" w:eastAsia="Times New Roman" w:hAnsi="Verdana" w:cs="Times New Roman"/>
          <w:highlight w:val="yellow"/>
          <w:lang w:eastAsia="en-GB"/>
        </w:rPr>
      </w:pPr>
    </w:p>
    <w:tbl>
      <w:tblPr>
        <w:tblpPr w:leftFromText="180" w:rightFromText="180" w:vertAnchor="text" w:horzAnchor="margin" w:tblpY="-719"/>
        <w:tblW w:w="5300" w:type="dxa"/>
        <w:tblLook w:val="04A0" w:firstRow="1" w:lastRow="0" w:firstColumn="1" w:lastColumn="0" w:noHBand="0" w:noVBand="1"/>
      </w:tblPr>
      <w:tblGrid>
        <w:gridCol w:w="2358"/>
        <w:gridCol w:w="1442"/>
        <w:gridCol w:w="1500"/>
      </w:tblGrid>
      <w:tr w:rsidR="003E50D5" w:rsidRPr="00B50CFB" w14:paraId="3176A472" w14:textId="77777777" w:rsidTr="001B7F7B">
        <w:trPr>
          <w:trHeight w:val="1155"/>
        </w:trPr>
        <w:tc>
          <w:tcPr>
            <w:tcW w:w="2358" w:type="dxa"/>
            <w:tcBorders>
              <w:top w:val="single" w:sz="8" w:space="0" w:color="auto"/>
              <w:left w:val="single" w:sz="8" w:space="0" w:color="auto"/>
              <w:bottom w:val="single" w:sz="8" w:space="0" w:color="auto"/>
              <w:right w:val="single" w:sz="8" w:space="0" w:color="auto"/>
            </w:tcBorders>
            <w:shd w:val="clear" w:color="000000" w:fill="C6E0B4"/>
            <w:hideMark/>
          </w:tcPr>
          <w:p w14:paraId="6A5E9656" w14:textId="77777777" w:rsidR="001B7F7B" w:rsidRPr="00B50CFB" w:rsidRDefault="001B7F7B" w:rsidP="001B7F7B">
            <w:pPr>
              <w:spacing w:after="0" w:line="240" w:lineRule="auto"/>
              <w:rPr>
                <w:rFonts w:ascii="Verdana" w:eastAsia="Times New Roman" w:hAnsi="Verdana" w:cs="Calibri"/>
                <w:b/>
                <w:bCs/>
                <w:color w:val="000000"/>
                <w:highlight w:val="yellow"/>
                <w:lang w:eastAsia="en-GB"/>
              </w:rPr>
            </w:pPr>
            <w:r w:rsidRPr="00BD5A32">
              <w:rPr>
                <w:rFonts w:ascii="Verdana" w:eastAsia="Times New Roman" w:hAnsi="Verdana" w:cs="Calibri"/>
                <w:b/>
                <w:bCs/>
                <w:color w:val="000000"/>
                <w:lang w:eastAsia="en-GB"/>
              </w:rPr>
              <w:t xml:space="preserve">Total </w:t>
            </w:r>
            <w:r>
              <w:rPr>
                <w:rFonts w:ascii="Verdana" w:eastAsia="Times New Roman" w:hAnsi="Verdana" w:cs="Calibri"/>
                <w:b/>
                <w:bCs/>
                <w:color w:val="000000"/>
                <w:lang w:eastAsia="en-GB"/>
              </w:rPr>
              <w:t>n</w:t>
            </w:r>
            <w:r w:rsidRPr="00BD5A32">
              <w:rPr>
                <w:rFonts w:ascii="Verdana" w:eastAsia="Times New Roman" w:hAnsi="Verdana" w:cs="Calibri"/>
                <w:b/>
                <w:bCs/>
                <w:color w:val="000000"/>
                <w:lang w:eastAsia="en-GB"/>
              </w:rPr>
              <w:t xml:space="preserve">umber of </w:t>
            </w:r>
            <w:r>
              <w:rPr>
                <w:rFonts w:ascii="Verdana" w:eastAsia="Times New Roman" w:hAnsi="Verdana" w:cs="Calibri"/>
                <w:b/>
                <w:bCs/>
                <w:color w:val="000000"/>
                <w:lang w:eastAsia="en-GB"/>
              </w:rPr>
              <w:t>i</w:t>
            </w:r>
            <w:r w:rsidRPr="00BD5A32">
              <w:rPr>
                <w:rFonts w:ascii="Verdana" w:eastAsia="Times New Roman" w:hAnsi="Verdana" w:cs="Calibri"/>
                <w:b/>
                <w:bCs/>
                <w:color w:val="000000"/>
                <w:lang w:eastAsia="en-GB"/>
              </w:rPr>
              <w:t xml:space="preserve">njuries during </w:t>
            </w:r>
            <w:r>
              <w:rPr>
                <w:rFonts w:ascii="Verdana" w:eastAsia="Times New Roman" w:hAnsi="Verdana" w:cs="Calibri"/>
                <w:b/>
                <w:bCs/>
                <w:color w:val="000000"/>
                <w:lang w:eastAsia="en-GB"/>
              </w:rPr>
              <w:t>r</w:t>
            </w:r>
            <w:r w:rsidRPr="00BD5A32">
              <w:rPr>
                <w:rFonts w:ascii="Verdana" w:eastAsia="Times New Roman" w:hAnsi="Verdana" w:cs="Calibri"/>
                <w:b/>
                <w:bCs/>
                <w:color w:val="000000"/>
                <w:lang w:eastAsia="en-GB"/>
              </w:rPr>
              <w:t xml:space="preserve">outine </w:t>
            </w:r>
            <w:r>
              <w:rPr>
                <w:rFonts w:ascii="Verdana" w:eastAsia="Times New Roman" w:hAnsi="Verdana" w:cs="Calibri"/>
                <w:b/>
                <w:bCs/>
                <w:color w:val="000000"/>
                <w:lang w:eastAsia="en-GB"/>
              </w:rPr>
              <w:t>a</w:t>
            </w:r>
            <w:r w:rsidRPr="00BD5A32">
              <w:rPr>
                <w:rFonts w:ascii="Verdana" w:eastAsia="Times New Roman" w:hAnsi="Verdana" w:cs="Calibri"/>
                <w:b/>
                <w:bCs/>
                <w:color w:val="000000"/>
                <w:lang w:eastAsia="en-GB"/>
              </w:rPr>
              <w:t>ctivities</w:t>
            </w:r>
          </w:p>
        </w:tc>
        <w:tc>
          <w:tcPr>
            <w:tcW w:w="1442" w:type="dxa"/>
            <w:tcBorders>
              <w:top w:val="single" w:sz="8" w:space="0" w:color="auto"/>
              <w:left w:val="nil"/>
              <w:bottom w:val="single" w:sz="8" w:space="0" w:color="auto"/>
              <w:right w:val="single" w:sz="8" w:space="0" w:color="auto"/>
            </w:tcBorders>
            <w:shd w:val="clear" w:color="000000" w:fill="C6E0B4"/>
            <w:hideMark/>
          </w:tcPr>
          <w:p w14:paraId="49BA5F59" w14:textId="77777777" w:rsidR="001B7F7B" w:rsidRPr="00B50CFB" w:rsidRDefault="001B7F7B" w:rsidP="001B7F7B">
            <w:pPr>
              <w:spacing w:after="0" w:line="240" w:lineRule="auto"/>
              <w:rPr>
                <w:rFonts w:ascii="Verdana" w:eastAsia="Times New Roman" w:hAnsi="Verdana" w:cs="Calibri"/>
                <w:b/>
                <w:bCs/>
                <w:color w:val="000000"/>
                <w:highlight w:val="yellow"/>
                <w:lang w:eastAsia="en-GB"/>
              </w:rPr>
            </w:pPr>
            <w:r w:rsidRPr="00BD5A32">
              <w:rPr>
                <w:rFonts w:ascii="Verdana" w:eastAsia="Times New Roman" w:hAnsi="Verdana" w:cs="Calibri"/>
                <w:b/>
                <w:bCs/>
                <w:color w:val="000000"/>
                <w:lang w:eastAsia="en-GB"/>
              </w:rPr>
              <w:t>201</w:t>
            </w:r>
            <w:r>
              <w:rPr>
                <w:rFonts w:ascii="Verdana" w:eastAsia="Times New Roman" w:hAnsi="Verdana" w:cs="Calibri"/>
                <w:b/>
                <w:bCs/>
                <w:color w:val="000000"/>
                <w:lang w:eastAsia="en-GB"/>
              </w:rPr>
              <w:t>9</w:t>
            </w:r>
            <w:r w:rsidRPr="00BD5A32">
              <w:rPr>
                <w:rFonts w:ascii="Verdana" w:eastAsia="Times New Roman" w:hAnsi="Verdana" w:cs="Calibri"/>
                <w:b/>
                <w:bCs/>
                <w:color w:val="000000"/>
                <w:lang w:eastAsia="en-GB"/>
              </w:rPr>
              <w:t>-</w:t>
            </w:r>
            <w:r>
              <w:rPr>
                <w:rFonts w:ascii="Verdana" w:eastAsia="Times New Roman" w:hAnsi="Verdana" w:cs="Calibri"/>
                <w:b/>
                <w:bCs/>
                <w:color w:val="000000"/>
                <w:lang w:eastAsia="en-GB"/>
              </w:rPr>
              <w:t>20</w:t>
            </w:r>
          </w:p>
        </w:tc>
        <w:tc>
          <w:tcPr>
            <w:tcW w:w="1500" w:type="dxa"/>
            <w:tcBorders>
              <w:top w:val="single" w:sz="4" w:space="0" w:color="auto"/>
              <w:left w:val="nil"/>
              <w:bottom w:val="single" w:sz="8" w:space="0" w:color="auto"/>
              <w:right w:val="single" w:sz="8" w:space="0" w:color="auto"/>
            </w:tcBorders>
            <w:shd w:val="clear" w:color="000000" w:fill="C6E0B4"/>
            <w:hideMark/>
          </w:tcPr>
          <w:p w14:paraId="0DE8A7B6" w14:textId="77777777" w:rsidR="001B7F7B" w:rsidRPr="00B50CFB" w:rsidRDefault="001B7F7B" w:rsidP="001B7F7B">
            <w:pPr>
              <w:spacing w:after="0" w:line="240" w:lineRule="auto"/>
              <w:rPr>
                <w:rFonts w:ascii="Verdana" w:eastAsia="Times New Roman" w:hAnsi="Verdana" w:cs="Calibri"/>
                <w:b/>
                <w:bCs/>
                <w:color w:val="000000"/>
                <w:highlight w:val="yellow"/>
                <w:lang w:eastAsia="en-GB"/>
              </w:rPr>
            </w:pPr>
            <w:r w:rsidRPr="00BD5A32">
              <w:rPr>
                <w:rFonts w:ascii="Verdana" w:eastAsia="Times New Roman" w:hAnsi="Verdana" w:cs="Calibri"/>
                <w:b/>
                <w:bCs/>
                <w:color w:val="000000"/>
                <w:lang w:eastAsia="en-GB"/>
              </w:rPr>
              <w:t>20</w:t>
            </w:r>
            <w:r>
              <w:rPr>
                <w:rFonts w:ascii="Verdana" w:eastAsia="Times New Roman" w:hAnsi="Verdana" w:cs="Calibri"/>
                <w:b/>
                <w:bCs/>
                <w:color w:val="000000"/>
                <w:lang w:eastAsia="en-GB"/>
              </w:rPr>
              <w:t>20</w:t>
            </w:r>
            <w:r w:rsidRPr="00BD5A32">
              <w:rPr>
                <w:rFonts w:ascii="Verdana" w:eastAsia="Times New Roman" w:hAnsi="Verdana" w:cs="Calibri"/>
                <w:b/>
                <w:bCs/>
                <w:color w:val="000000"/>
                <w:lang w:eastAsia="en-GB"/>
              </w:rPr>
              <w:t>-</w:t>
            </w:r>
            <w:r>
              <w:rPr>
                <w:rFonts w:ascii="Verdana" w:eastAsia="Times New Roman" w:hAnsi="Verdana" w:cs="Calibri"/>
                <w:b/>
                <w:bCs/>
                <w:color w:val="000000"/>
                <w:lang w:eastAsia="en-GB"/>
              </w:rPr>
              <w:t>21</w:t>
            </w:r>
          </w:p>
        </w:tc>
      </w:tr>
      <w:tr w:rsidR="003E50D5" w:rsidRPr="00B50CFB" w14:paraId="5028280E"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FFFFFF" w:themeFill="background1"/>
            <w:hideMark/>
          </w:tcPr>
          <w:p w14:paraId="2F8F6D27" w14:textId="42FE52AC" w:rsidR="001B7F7B" w:rsidRPr="00697F68" w:rsidRDefault="005B3F8D" w:rsidP="001B7F7B">
            <w:pPr>
              <w:spacing w:after="0" w:line="240" w:lineRule="auto"/>
              <w:rPr>
                <w:rFonts w:ascii="Verdana" w:eastAsia="Times New Roman" w:hAnsi="Verdana" w:cs="Calibri"/>
                <w:bCs/>
                <w:color w:val="000000"/>
                <w:lang w:eastAsia="en-GB"/>
              </w:rPr>
            </w:pPr>
            <w:r>
              <w:rPr>
                <w:rFonts w:ascii="Verdana" w:eastAsia="Times New Roman" w:hAnsi="Verdana" w:cs="Calibri"/>
                <w:bCs/>
                <w:color w:val="000000"/>
                <w:lang w:eastAsia="en-GB"/>
              </w:rPr>
              <w:t>West Sussex</w:t>
            </w:r>
          </w:p>
        </w:tc>
        <w:tc>
          <w:tcPr>
            <w:tcW w:w="1442" w:type="dxa"/>
            <w:tcBorders>
              <w:top w:val="nil"/>
              <w:left w:val="nil"/>
              <w:bottom w:val="single" w:sz="8" w:space="0" w:color="auto"/>
              <w:right w:val="single" w:sz="8" w:space="0" w:color="auto"/>
            </w:tcBorders>
            <w:shd w:val="clear" w:color="auto" w:fill="FFFFFF" w:themeFill="background1"/>
          </w:tcPr>
          <w:p w14:paraId="2C5B2C70" w14:textId="53AA1049" w:rsidR="001B7F7B" w:rsidRPr="00697F68" w:rsidRDefault="005B3F8D" w:rsidP="001B7F7B">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5</w:t>
            </w:r>
          </w:p>
        </w:tc>
        <w:tc>
          <w:tcPr>
            <w:tcW w:w="1500" w:type="dxa"/>
            <w:tcBorders>
              <w:top w:val="nil"/>
              <w:left w:val="nil"/>
              <w:bottom w:val="single" w:sz="8" w:space="0" w:color="auto"/>
              <w:right w:val="single" w:sz="8" w:space="0" w:color="auto"/>
            </w:tcBorders>
            <w:shd w:val="clear" w:color="auto" w:fill="FFFFFF" w:themeFill="background1"/>
            <w:noWrap/>
          </w:tcPr>
          <w:p w14:paraId="40C4922A" w14:textId="3FD46FE9" w:rsidR="001B7F7B" w:rsidRPr="00697F68" w:rsidRDefault="005B3F8D" w:rsidP="001B7F7B">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2</w:t>
            </w:r>
          </w:p>
        </w:tc>
      </w:tr>
      <w:tr w:rsidR="003E50D5" w:rsidRPr="00B50CFB" w14:paraId="14A6BC6D" w14:textId="77777777" w:rsidTr="00156FA4">
        <w:trPr>
          <w:trHeight w:val="315"/>
        </w:trPr>
        <w:tc>
          <w:tcPr>
            <w:tcW w:w="2358" w:type="dxa"/>
            <w:tcBorders>
              <w:top w:val="nil"/>
              <w:left w:val="single" w:sz="8" w:space="0" w:color="auto"/>
              <w:bottom w:val="single" w:sz="8" w:space="0" w:color="auto"/>
              <w:right w:val="single" w:sz="8" w:space="0" w:color="auto"/>
            </w:tcBorders>
            <w:shd w:val="clear" w:color="auto" w:fill="FFFF00"/>
            <w:hideMark/>
          </w:tcPr>
          <w:p w14:paraId="2F956FE9" w14:textId="791561EA" w:rsidR="001B7F7B" w:rsidRPr="00156FA4" w:rsidRDefault="005B3F8D" w:rsidP="001B7F7B">
            <w:pPr>
              <w:spacing w:after="0" w:line="240" w:lineRule="auto"/>
              <w:rPr>
                <w:rFonts w:ascii="Verdana" w:eastAsia="Times New Roman" w:hAnsi="Verdana" w:cs="Calibri"/>
                <w:b/>
                <w:bCs/>
                <w:color w:val="000000"/>
                <w:lang w:eastAsia="en-GB"/>
              </w:rPr>
            </w:pPr>
            <w:r w:rsidRPr="00156FA4">
              <w:rPr>
                <w:rFonts w:ascii="Verdana" w:eastAsia="Times New Roman" w:hAnsi="Verdana" w:cs="Calibri"/>
                <w:b/>
                <w:bCs/>
                <w:color w:val="000000"/>
                <w:lang w:eastAsia="en-GB"/>
              </w:rPr>
              <w:t>Buckinghamshire</w:t>
            </w:r>
          </w:p>
        </w:tc>
        <w:tc>
          <w:tcPr>
            <w:tcW w:w="1442" w:type="dxa"/>
            <w:tcBorders>
              <w:top w:val="nil"/>
              <w:left w:val="nil"/>
              <w:bottom w:val="single" w:sz="8" w:space="0" w:color="auto"/>
              <w:right w:val="single" w:sz="8" w:space="0" w:color="auto"/>
            </w:tcBorders>
            <w:shd w:val="clear" w:color="auto" w:fill="FFFF00"/>
          </w:tcPr>
          <w:p w14:paraId="12F31AC9" w14:textId="24BD8BE9" w:rsidR="001B7F7B" w:rsidRPr="00156FA4" w:rsidRDefault="005B3F8D" w:rsidP="001B7F7B">
            <w:pPr>
              <w:spacing w:after="0" w:line="240" w:lineRule="auto"/>
              <w:jc w:val="right"/>
              <w:rPr>
                <w:rFonts w:ascii="Verdana" w:eastAsia="Times New Roman" w:hAnsi="Verdana" w:cs="Calibri"/>
                <w:b/>
                <w:bCs/>
                <w:color w:val="000000"/>
                <w:lang w:eastAsia="en-GB"/>
              </w:rPr>
            </w:pPr>
            <w:r w:rsidRPr="00156FA4">
              <w:rPr>
                <w:rFonts w:ascii="Verdana" w:eastAsia="Times New Roman" w:hAnsi="Verdana" w:cs="Calibri"/>
                <w:b/>
                <w:bCs/>
                <w:color w:val="000000"/>
                <w:lang w:eastAsia="en-GB"/>
              </w:rPr>
              <w:t>11</w:t>
            </w:r>
          </w:p>
        </w:tc>
        <w:tc>
          <w:tcPr>
            <w:tcW w:w="1500" w:type="dxa"/>
            <w:tcBorders>
              <w:top w:val="nil"/>
              <w:left w:val="nil"/>
              <w:bottom w:val="single" w:sz="8" w:space="0" w:color="auto"/>
              <w:right w:val="single" w:sz="8" w:space="0" w:color="auto"/>
            </w:tcBorders>
            <w:shd w:val="clear" w:color="auto" w:fill="FFFF00"/>
            <w:noWrap/>
          </w:tcPr>
          <w:p w14:paraId="13573C08" w14:textId="59294BE9" w:rsidR="001B7F7B" w:rsidRPr="00156FA4" w:rsidRDefault="005B3F8D" w:rsidP="001B7F7B">
            <w:pPr>
              <w:spacing w:after="0" w:line="240" w:lineRule="auto"/>
              <w:jc w:val="right"/>
              <w:rPr>
                <w:rFonts w:ascii="Verdana" w:eastAsia="Times New Roman" w:hAnsi="Verdana" w:cs="Calibri"/>
                <w:b/>
                <w:bCs/>
                <w:color w:val="000000"/>
                <w:lang w:eastAsia="en-GB"/>
              </w:rPr>
            </w:pPr>
            <w:r w:rsidRPr="00156FA4">
              <w:rPr>
                <w:rFonts w:ascii="Verdana" w:eastAsia="Times New Roman" w:hAnsi="Verdana" w:cs="Calibri"/>
                <w:b/>
                <w:bCs/>
                <w:color w:val="000000"/>
                <w:lang w:eastAsia="en-GB"/>
              </w:rPr>
              <w:t>3</w:t>
            </w:r>
          </w:p>
        </w:tc>
      </w:tr>
      <w:tr w:rsidR="003E50D5" w:rsidRPr="00B50CFB" w14:paraId="33A21A27"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B9759F1" w14:textId="6D28E3E5" w:rsidR="001B7F7B" w:rsidRPr="00697F68" w:rsidRDefault="001B7F7B"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w:t>
            </w:r>
            <w:r w:rsidR="00156FA4">
              <w:rPr>
                <w:rFonts w:ascii="Verdana" w:eastAsia="Times New Roman" w:hAnsi="Verdana" w:cs="Calibri"/>
                <w:color w:val="000000"/>
                <w:lang w:eastAsia="en-GB"/>
              </w:rPr>
              <w:t>arwickshire</w:t>
            </w:r>
          </w:p>
        </w:tc>
        <w:tc>
          <w:tcPr>
            <w:tcW w:w="1442" w:type="dxa"/>
            <w:tcBorders>
              <w:top w:val="nil"/>
              <w:left w:val="nil"/>
              <w:bottom w:val="single" w:sz="8" w:space="0" w:color="auto"/>
              <w:right w:val="single" w:sz="8" w:space="0" w:color="auto"/>
            </w:tcBorders>
            <w:shd w:val="clear" w:color="auto" w:fill="auto"/>
          </w:tcPr>
          <w:p w14:paraId="5862632B" w14:textId="210E8946" w:rsidR="001B7F7B" w:rsidRPr="00697F68"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8</w:t>
            </w:r>
          </w:p>
        </w:tc>
        <w:tc>
          <w:tcPr>
            <w:tcW w:w="1500" w:type="dxa"/>
            <w:tcBorders>
              <w:top w:val="nil"/>
              <w:left w:val="nil"/>
              <w:bottom w:val="single" w:sz="8" w:space="0" w:color="auto"/>
              <w:right w:val="single" w:sz="8" w:space="0" w:color="auto"/>
            </w:tcBorders>
            <w:shd w:val="clear" w:color="auto" w:fill="auto"/>
            <w:noWrap/>
          </w:tcPr>
          <w:p w14:paraId="518342AF" w14:textId="423A657E" w:rsidR="001B7F7B" w:rsidRPr="00697F68"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r>
      <w:tr w:rsidR="003E50D5" w:rsidRPr="00B50CFB" w14:paraId="3418CCD6"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CD21731" w14:textId="3C2DB20C" w:rsidR="001B7F7B" w:rsidRPr="00697F68" w:rsidRDefault="00156FA4"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Hereford and Worcester</w:t>
            </w:r>
          </w:p>
        </w:tc>
        <w:tc>
          <w:tcPr>
            <w:tcW w:w="1442" w:type="dxa"/>
            <w:tcBorders>
              <w:top w:val="nil"/>
              <w:left w:val="nil"/>
              <w:bottom w:val="single" w:sz="8" w:space="0" w:color="auto"/>
              <w:right w:val="single" w:sz="8" w:space="0" w:color="auto"/>
            </w:tcBorders>
            <w:shd w:val="clear" w:color="auto" w:fill="auto"/>
          </w:tcPr>
          <w:p w14:paraId="52D0A883" w14:textId="4838594C" w:rsidR="001B7F7B" w:rsidRPr="00697F68" w:rsidRDefault="001B7F7B"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r w:rsidR="00156FA4">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29DD9138" w14:textId="685DCECA" w:rsidR="001B7F7B" w:rsidRPr="00697F68"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5</w:t>
            </w:r>
          </w:p>
        </w:tc>
      </w:tr>
      <w:tr w:rsidR="003E50D5" w:rsidRPr="00B50CFB" w14:paraId="183780A1"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36771020" w14:textId="289568BC" w:rsidR="001B7F7B" w:rsidRPr="00697F68" w:rsidRDefault="00156FA4"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Suffolk</w:t>
            </w:r>
          </w:p>
        </w:tc>
        <w:tc>
          <w:tcPr>
            <w:tcW w:w="1442" w:type="dxa"/>
            <w:tcBorders>
              <w:top w:val="nil"/>
              <w:left w:val="nil"/>
              <w:bottom w:val="single" w:sz="8" w:space="0" w:color="auto"/>
              <w:right w:val="single" w:sz="8" w:space="0" w:color="auto"/>
            </w:tcBorders>
            <w:shd w:val="clear" w:color="auto" w:fill="auto"/>
          </w:tcPr>
          <w:p w14:paraId="10B26210" w14:textId="609937D6" w:rsidR="001B7F7B" w:rsidRPr="00697F68"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5</w:t>
            </w:r>
          </w:p>
        </w:tc>
        <w:tc>
          <w:tcPr>
            <w:tcW w:w="1500" w:type="dxa"/>
            <w:tcBorders>
              <w:top w:val="nil"/>
              <w:left w:val="nil"/>
              <w:bottom w:val="single" w:sz="8" w:space="0" w:color="auto"/>
              <w:right w:val="single" w:sz="8" w:space="0" w:color="auto"/>
            </w:tcBorders>
            <w:shd w:val="clear" w:color="auto" w:fill="auto"/>
            <w:noWrap/>
          </w:tcPr>
          <w:p w14:paraId="2668A966" w14:textId="0A27FDE2" w:rsidR="001B7F7B" w:rsidRPr="00697F68"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w:t>
            </w:r>
          </w:p>
        </w:tc>
      </w:tr>
      <w:tr w:rsidR="003E50D5" w:rsidRPr="00B50CFB" w14:paraId="2185C8F0"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44E5A69" w14:textId="5392ECD4" w:rsidR="001B7F7B" w:rsidRPr="00697F68" w:rsidRDefault="00156FA4"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Berkshire</w:t>
            </w:r>
          </w:p>
        </w:tc>
        <w:tc>
          <w:tcPr>
            <w:tcW w:w="1442" w:type="dxa"/>
            <w:tcBorders>
              <w:top w:val="nil"/>
              <w:left w:val="nil"/>
              <w:bottom w:val="single" w:sz="8" w:space="0" w:color="auto"/>
              <w:right w:val="single" w:sz="8" w:space="0" w:color="auto"/>
            </w:tcBorders>
            <w:shd w:val="clear" w:color="auto" w:fill="auto"/>
          </w:tcPr>
          <w:p w14:paraId="6CEF3147" w14:textId="004E651E" w:rsidR="001B7F7B" w:rsidRPr="00697F68"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10</w:t>
            </w:r>
          </w:p>
        </w:tc>
        <w:tc>
          <w:tcPr>
            <w:tcW w:w="1500" w:type="dxa"/>
            <w:tcBorders>
              <w:top w:val="nil"/>
              <w:left w:val="nil"/>
              <w:bottom w:val="single" w:sz="8" w:space="0" w:color="auto"/>
              <w:right w:val="single" w:sz="8" w:space="0" w:color="auto"/>
            </w:tcBorders>
            <w:shd w:val="clear" w:color="auto" w:fill="auto"/>
            <w:noWrap/>
          </w:tcPr>
          <w:p w14:paraId="2F426768" w14:textId="3E4580BC" w:rsidR="001B7F7B" w:rsidRPr="00697F68"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r>
      <w:tr w:rsidR="003E50D5" w:rsidRPr="00B50CFB" w14:paraId="48AB386C"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47A75F5" w14:textId="48A6EAE1" w:rsidR="001B7F7B" w:rsidRPr="0045785B" w:rsidRDefault="00156FA4"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Northamptonshire</w:t>
            </w:r>
          </w:p>
        </w:tc>
        <w:tc>
          <w:tcPr>
            <w:tcW w:w="1442" w:type="dxa"/>
            <w:tcBorders>
              <w:top w:val="nil"/>
              <w:left w:val="nil"/>
              <w:bottom w:val="single" w:sz="8" w:space="0" w:color="auto"/>
              <w:right w:val="single" w:sz="8" w:space="0" w:color="auto"/>
            </w:tcBorders>
            <w:shd w:val="clear" w:color="auto" w:fill="auto"/>
          </w:tcPr>
          <w:p w14:paraId="090BF885" w14:textId="40636670" w:rsidR="001B7F7B" w:rsidRPr="0045785B" w:rsidRDefault="00156FA4"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c>
          <w:tcPr>
            <w:tcW w:w="1500" w:type="dxa"/>
            <w:tcBorders>
              <w:top w:val="nil"/>
              <w:left w:val="nil"/>
              <w:bottom w:val="single" w:sz="8" w:space="0" w:color="auto"/>
              <w:right w:val="single" w:sz="8" w:space="0" w:color="auto"/>
            </w:tcBorders>
            <w:shd w:val="clear" w:color="auto" w:fill="auto"/>
            <w:noWrap/>
          </w:tcPr>
          <w:p w14:paraId="2B49C8DB" w14:textId="77777777" w:rsidR="001B7F7B" w:rsidRPr="0045785B" w:rsidRDefault="001B7F7B" w:rsidP="001B7F7B">
            <w:pPr>
              <w:spacing w:after="0" w:line="240" w:lineRule="auto"/>
              <w:jc w:val="right"/>
              <w:rPr>
                <w:rFonts w:ascii="Verdana" w:eastAsia="Times New Roman" w:hAnsi="Verdana" w:cs="Calibri"/>
                <w:color w:val="000000"/>
                <w:lang w:eastAsia="en-GB"/>
              </w:rPr>
            </w:pPr>
            <w:r w:rsidRPr="0045785B">
              <w:rPr>
                <w:rFonts w:ascii="Verdana" w:eastAsia="Times New Roman" w:hAnsi="Verdana" w:cs="Calibri"/>
                <w:color w:val="000000"/>
                <w:lang w:eastAsia="en-GB"/>
              </w:rPr>
              <w:t>9</w:t>
            </w:r>
          </w:p>
        </w:tc>
      </w:tr>
      <w:tr w:rsidR="003E50D5" w:rsidRPr="00B50CFB" w14:paraId="40557201"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BA07048" w14:textId="2E6E2BCC" w:rsidR="001B7F7B" w:rsidRPr="00697F68" w:rsidRDefault="00156FA4"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Oxfordshire</w:t>
            </w:r>
          </w:p>
        </w:tc>
        <w:tc>
          <w:tcPr>
            <w:tcW w:w="1442" w:type="dxa"/>
            <w:tcBorders>
              <w:top w:val="nil"/>
              <w:left w:val="nil"/>
              <w:bottom w:val="single" w:sz="8" w:space="0" w:color="auto"/>
              <w:right w:val="single" w:sz="8" w:space="0" w:color="auto"/>
            </w:tcBorders>
            <w:shd w:val="clear" w:color="auto" w:fill="auto"/>
          </w:tcPr>
          <w:p w14:paraId="05006D53" w14:textId="43BF95F4" w:rsidR="001B7F7B" w:rsidRPr="00697F68" w:rsidRDefault="003E50D5"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9</w:t>
            </w:r>
          </w:p>
        </w:tc>
        <w:tc>
          <w:tcPr>
            <w:tcW w:w="1500" w:type="dxa"/>
            <w:tcBorders>
              <w:top w:val="nil"/>
              <w:left w:val="nil"/>
              <w:bottom w:val="single" w:sz="8" w:space="0" w:color="auto"/>
              <w:right w:val="single" w:sz="8" w:space="0" w:color="auto"/>
            </w:tcBorders>
            <w:shd w:val="clear" w:color="auto" w:fill="auto"/>
            <w:noWrap/>
          </w:tcPr>
          <w:p w14:paraId="7C6EC3AB" w14:textId="369A4F35" w:rsidR="001B7F7B" w:rsidRPr="00697F68" w:rsidRDefault="003E50D5"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9</w:t>
            </w:r>
          </w:p>
        </w:tc>
      </w:tr>
      <w:tr w:rsidR="003E50D5" w:rsidRPr="00B50CFB" w14:paraId="0E616344"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9036602" w14:textId="358A7895" w:rsidR="001B7F7B" w:rsidRPr="00697F68" w:rsidRDefault="00156FA4"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East Sussex</w:t>
            </w:r>
          </w:p>
        </w:tc>
        <w:tc>
          <w:tcPr>
            <w:tcW w:w="1442" w:type="dxa"/>
            <w:tcBorders>
              <w:top w:val="nil"/>
              <w:left w:val="nil"/>
              <w:bottom w:val="single" w:sz="8" w:space="0" w:color="auto"/>
              <w:right w:val="single" w:sz="8" w:space="0" w:color="auto"/>
            </w:tcBorders>
            <w:shd w:val="clear" w:color="auto" w:fill="auto"/>
          </w:tcPr>
          <w:p w14:paraId="026D25CF" w14:textId="4662E1D5" w:rsidR="001B7F7B" w:rsidRPr="00697F68" w:rsidRDefault="003E50D5"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c>
          <w:tcPr>
            <w:tcW w:w="1500" w:type="dxa"/>
            <w:tcBorders>
              <w:top w:val="nil"/>
              <w:left w:val="nil"/>
              <w:bottom w:val="single" w:sz="8" w:space="0" w:color="auto"/>
              <w:right w:val="single" w:sz="8" w:space="0" w:color="auto"/>
            </w:tcBorders>
            <w:shd w:val="clear" w:color="auto" w:fill="auto"/>
            <w:noWrap/>
          </w:tcPr>
          <w:p w14:paraId="305029D3" w14:textId="3CDFBB6D" w:rsidR="001B7F7B" w:rsidRPr="00697F68" w:rsidRDefault="003E50D5"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13</w:t>
            </w:r>
          </w:p>
        </w:tc>
      </w:tr>
      <w:tr w:rsidR="003E50D5" w:rsidRPr="00B50CFB" w14:paraId="3C144A3A" w14:textId="77777777" w:rsidTr="00156FA4">
        <w:trPr>
          <w:trHeight w:val="382"/>
        </w:trPr>
        <w:tc>
          <w:tcPr>
            <w:tcW w:w="2358" w:type="dxa"/>
            <w:tcBorders>
              <w:top w:val="nil"/>
              <w:left w:val="single" w:sz="8" w:space="0" w:color="auto"/>
              <w:bottom w:val="single" w:sz="8" w:space="0" w:color="auto"/>
              <w:right w:val="single" w:sz="8" w:space="0" w:color="auto"/>
            </w:tcBorders>
            <w:shd w:val="clear" w:color="auto" w:fill="auto"/>
          </w:tcPr>
          <w:p w14:paraId="4929E97D" w14:textId="623CEE17" w:rsidR="001B7F7B" w:rsidRPr="00156FA4" w:rsidRDefault="003E50D5" w:rsidP="001B7F7B">
            <w:pPr>
              <w:spacing w:after="0" w:line="240" w:lineRule="auto"/>
              <w:rPr>
                <w:rFonts w:ascii="Verdana" w:eastAsia="Times New Roman" w:hAnsi="Verdana" w:cs="Calibri"/>
                <w:bCs/>
                <w:color w:val="000000"/>
                <w:lang w:eastAsia="en-GB"/>
              </w:rPr>
            </w:pPr>
            <w:r>
              <w:rPr>
                <w:rFonts w:ascii="Verdana" w:eastAsia="Times New Roman" w:hAnsi="Verdana" w:cs="Calibri"/>
                <w:bCs/>
                <w:color w:val="000000"/>
                <w:lang w:eastAsia="en-GB"/>
              </w:rPr>
              <w:t>Cambridgeshire</w:t>
            </w:r>
          </w:p>
        </w:tc>
        <w:tc>
          <w:tcPr>
            <w:tcW w:w="1442" w:type="dxa"/>
            <w:tcBorders>
              <w:top w:val="nil"/>
              <w:left w:val="nil"/>
              <w:bottom w:val="single" w:sz="8" w:space="0" w:color="auto"/>
              <w:right w:val="single" w:sz="8" w:space="0" w:color="auto"/>
            </w:tcBorders>
            <w:shd w:val="clear" w:color="auto" w:fill="auto"/>
          </w:tcPr>
          <w:p w14:paraId="67EF4CAE" w14:textId="263C4162" w:rsidR="001B7F7B" w:rsidRPr="00156FA4" w:rsidRDefault="001B7F7B" w:rsidP="001B7F7B">
            <w:pPr>
              <w:spacing w:after="0" w:line="240" w:lineRule="auto"/>
              <w:jc w:val="right"/>
              <w:rPr>
                <w:rFonts w:ascii="Verdana" w:eastAsia="Times New Roman" w:hAnsi="Verdana" w:cs="Calibri"/>
                <w:bCs/>
                <w:color w:val="000000"/>
                <w:lang w:eastAsia="en-GB"/>
              </w:rPr>
            </w:pPr>
            <w:r w:rsidRPr="00156FA4">
              <w:rPr>
                <w:rFonts w:ascii="Verdana" w:eastAsia="Times New Roman" w:hAnsi="Verdana" w:cs="Calibri"/>
                <w:bCs/>
                <w:color w:val="000000"/>
                <w:lang w:eastAsia="en-GB"/>
              </w:rPr>
              <w:t>1</w:t>
            </w:r>
            <w:r w:rsidR="003E50D5">
              <w:rPr>
                <w:rFonts w:ascii="Verdana" w:eastAsia="Times New Roman" w:hAnsi="Verdana" w:cs="Calibri"/>
                <w:bCs/>
                <w:color w:val="000000"/>
                <w:lang w:eastAsia="en-GB"/>
              </w:rPr>
              <w:t>4</w:t>
            </w:r>
          </w:p>
        </w:tc>
        <w:tc>
          <w:tcPr>
            <w:tcW w:w="1500" w:type="dxa"/>
            <w:tcBorders>
              <w:top w:val="nil"/>
              <w:left w:val="nil"/>
              <w:bottom w:val="single" w:sz="8" w:space="0" w:color="auto"/>
              <w:right w:val="single" w:sz="8" w:space="0" w:color="auto"/>
            </w:tcBorders>
            <w:shd w:val="clear" w:color="auto" w:fill="auto"/>
            <w:noWrap/>
          </w:tcPr>
          <w:p w14:paraId="625D9B1B" w14:textId="6BCC48E4" w:rsidR="001B7F7B" w:rsidRPr="00156FA4" w:rsidRDefault="003E50D5" w:rsidP="001B7F7B">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14</w:t>
            </w:r>
          </w:p>
        </w:tc>
      </w:tr>
      <w:tr w:rsidR="003E50D5" w:rsidRPr="00B50CFB" w14:paraId="3AB73E5D"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17070BA" w14:textId="53170AA0" w:rsidR="001B7F7B" w:rsidRPr="00697F68" w:rsidRDefault="003E50D5"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Bedfordshire</w:t>
            </w:r>
          </w:p>
        </w:tc>
        <w:tc>
          <w:tcPr>
            <w:tcW w:w="1442" w:type="dxa"/>
            <w:tcBorders>
              <w:top w:val="nil"/>
              <w:left w:val="nil"/>
              <w:bottom w:val="single" w:sz="8" w:space="0" w:color="auto"/>
              <w:right w:val="single" w:sz="8" w:space="0" w:color="auto"/>
            </w:tcBorders>
            <w:shd w:val="clear" w:color="auto" w:fill="auto"/>
          </w:tcPr>
          <w:p w14:paraId="01A191BA" w14:textId="36274C5D" w:rsidR="001B7F7B" w:rsidRPr="00697F68" w:rsidRDefault="003E50D5"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c>
          <w:tcPr>
            <w:tcW w:w="1500" w:type="dxa"/>
            <w:tcBorders>
              <w:top w:val="nil"/>
              <w:left w:val="nil"/>
              <w:bottom w:val="single" w:sz="8" w:space="0" w:color="auto"/>
              <w:right w:val="single" w:sz="8" w:space="0" w:color="auto"/>
            </w:tcBorders>
            <w:shd w:val="clear" w:color="auto" w:fill="auto"/>
            <w:noWrap/>
          </w:tcPr>
          <w:p w14:paraId="2E602D51" w14:textId="26AD7BC3" w:rsidR="001B7F7B" w:rsidRPr="00697F68" w:rsidRDefault="001B7F7B"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r w:rsidR="003E50D5">
              <w:rPr>
                <w:rFonts w:ascii="Verdana" w:eastAsia="Times New Roman" w:hAnsi="Verdana" w:cs="Calibri"/>
                <w:color w:val="000000"/>
                <w:lang w:eastAsia="en-GB"/>
              </w:rPr>
              <w:t>6</w:t>
            </w:r>
          </w:p>
        </w:tc>
      </w:tr>
      <w:tr w:rsidR="003E50D5" w:rsidRPr="00B50CFB" w14:paraId="4D300593" w14:textId="77777777" w:rsidTr="001B7F7B">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2E05522" w14:textId="77777777" w:rsidR="001B7F7B" w:rsidRPr="00697F68" w:rsidRDefault="001B7F7B" w:rsidP="001B7F7B">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Norfolk</w:t>
            </w:r>
          </w:p>
        </w:tc>
        <w:tc>
          <w:tcPr>
            <w:tcW w:w="1442" w:type="dxa"/>
            <w:tcBorders>
              <w:top w:val="nil"/>
              <w:left w:val="nil"/>
              <w:bottom w:val="single" w:sz="8" w:space="0" w:color="auto"/>
              <w:right w:val="single" w:sz="8" w:space="0" w:color="auto"/>
            </w:tcBorders>
            <w:shd w:val="clear" w:color="auto" w:fill="auto"/>
          </w:tcPr>
          <w:p w14:paraId="132EC555" w14:textId="4D762837" w:rsidR="001B7F7B" w:rsidRPr="00697F68" w:rsidRDefault="003E50D5"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24</w:t>
            </w:r>
          </w:p>
        </w:tc>
        <w:tc>
          <w:tcPr>
            <w:tcW w:w="1500" w:type="dxa"/>
            <w:tcBorders>
              <w:top w:val="nil"/>
              <w:left w:val="nil"/>
              <w:bottom w:val="single" w:sz="8" w:space="0" w:color="auto"/>
              <w:right w:val="single" w:sz="8" w:space="0" w:color="auto"/>
            </w:tcBorders>
            <w:shd w:val="clear" w:color="auto" w:fill="auto"/>
            <w:noWrap/>
          </w:tcPr>
          <w:p w14:paraId="04550867" w14:textId="79289751" w:rsidR="001B7F7B" w:rsidRPr="00697F68" w:rsidRDefault="003E50D5" w:rsidP="001B7F7B">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17</w:t>
            </w:r>
          </w:p>
        </w:tc>
      </w:tr>
    </w:tbl>
    <w:p w14:paraId="5E8C6F30" w14:textId="77777777" w:rsidR="00432A8D" w:rsidRPr="00B50CFB" w:rsidRDefault="00432A8D" w:rsidP="00B80FBD">
      <w:pPr>
        <w:rPr>
          <w:rFonts w:ascii="Verdana" w:eastAsia="Times New Roman" w:hAnsi="Verdana" w:cs="Times New Roman"/>
          <w:highlight w:val="yellow"/>
          <w:lang w:eastAsia="en-GB"/>
        </w:rPr>
      </w:pPr>
    </w:p>
    <w:p w14:paraId="4C92791A" w14:textId="77777777" w:rsidR="00432A8D" w:rsidRPr="00B50CFB" w:rsidRDefault="00432A8D" w:rsidP="00B80FBD">
      <w:pPr>
        <w:rPr>
          <w:rFonts w:ascii="Verdana" w:eastAsia="Times New Roman" w:hAnsi="Verdana" w:cs="Times New Roman"/>
          <w:highlight w:val="yellow"/>
          <w:lang w:eastAsia="en-GB"/>
        </w:rPr>
      </w:pPr>
    </w:p>
    <w:p w14:paraId="2A3CB8A2" w14:textId="77777777" w:rsidR="00432A8D" w:rsidRPr="00B50CFB" w:rsidRDefault="00432A8D" w:rsidP="00B80FBD">
      <w:pPr>
        <w:rPr>
          <w:rFonts w:ascii="Verdana" w:eastAsia="Times New Roman" w:hAnsi="Verdana" w:cs="Times New Roman"/>
          <w:highlight w:val="yellow"/>
          <w:lang w:eastAsia="en-GB"/>
        </w:rPr>
      </w:pPr>
    </w:p>
    <w:p w14:paraId="7683DEB0" w14:textId="77777777" w:rsidR="00432A8D" w:rsidRPr="00B50CFB" w:rsidRDefault="00432A8D" w:rsidP="00B80FBD">
      <w:pPr>
        <w:rPr>
          <w:rFonts w:ascii="Verdana" w:eastAsia="Times New Roman" w:hAnsi="Verdana" w:cs="Times New Roman"/>
          <w:highlight w:val="yellow"/>
          <w:lang w:eastAsia="en-GB"/>
        </w:rPr>
      </w:pPr>
    </w:p>
    <w:p w14:paraId="3C02FCD9" w14:textId="77777777" w:rsidR="00432A8D" w:rsidRPr="00B50CFB" w:rsidRDefault="00432A8D" w:rsidP="00B80FBD">
      <w:pPr>
        <w:rPr>
          <w:rFonts w:ascii="Verdana" w:eastAsia="Times New Roman" w:hAnsi="Verdana" w:cs="Times New Roman"/>
          <w:highlight w:val="yellow"/>
          <w:lang w:eastAsia="en-GB"/>
        </w:rPr>
      </w:pPr>
    </w:p>
    <w:p w14:paraId="59AAF4DC" w14:textId="77777777" w:rsidR="00432A8D" w:rsidRPr="00B50CFB" w:rsidRDefault="00432A8D" w:rsidP="00B80FBD">
      <w:pPr>
        <w:rPr>
          <w:rFonts w:ascii="Verdana" w:eastAsia="Times New Roman" w:hAnsi="Verdana" w:cs="Times New Roman"/>
          <w:highlight w:val="yellow"/>
          <w:lang w:eastAsia="en-GB"/>
        </w:rPr>
      </w:pPr>
    </w:p>
    <w:p w14:paraId="0E808892" w14:textId="77777777" w:rsidR="00432A8D" w:rsidRPr="00B50CFB" w:rsidRDefault="00432A8D" w:rsidP="00B80FBD">
      <w:pPr>
        <w:rPr>
          <w:rFonts w:ascii="Verdana" w:eastAsia="Times New Roman" w:hAnsi="Verdana" w:cs="Times New Roman"/>
          <w:highlight w:val="yellow"/>
          <w:lang w:eastAsia="en-GB"/>
        </w:rPr>
      </w:pPr>
    </w:p>
    <w:p w14:paraId="74040B0C" w14:textId="77777777" w:rsidR="00432A8D" w:rsidRPr="00B50CFB" w:rsidRDefault="00432A8D" w:rsidP="00B80FBD">
      <w:pPr>
        <w:rPr>
          <w:rFonts w:ascii="Verdana" w:eastAsia="Times New Roman" w:hAnsi="Verdana" w:cs="Times New Roman"/>
          <w:highlight w:val="yellow"/>
          <w:lang w:eastAsia="en-GB"/>
        </w:rPr>
      </w:pPr>
    </w:p>
    <w:p w14:paraId="5A28CC89" w14:textId="77777777" w:rsidR="00BC34DF" w:rsidRDefault="00BC34DF" w:rsidP="00B80FBD">
      <w:pPr>
        <w:rPr>
          <w:rFonts w:ascii="Verdana" w:eastAsia="Times New Roman" w:hAnsi="Verdana" w:cs="Times New Roman"/>
          <w:highlight w:val="yellow"/>
          <w:lang w:eastAsia="en-GB"/>
        </w:rPr>
      </w:pPr>
    </w:p>
    <w:p w14:paraId="6A3B834D" w14:textId="0006F180" w:rsidR="008445B4" w:rsidRDefault="008445B4" w:rsidP="00B80FBD">
      <w:pPr>
        <w:rPr>
          <w:rFonts w:ascii="Verdana" w:eastAsia="Times New Roman" w:hAnsi="Verdana" w:cs="Times New Roman"/>
          <w:highlight w:val="yellow"/>
          <w:lang w:eastAsia="en-GB"/>
        </w:rPr>
      </w:pPr>
    </w:p>
    <w:p w14:paraId="4E175C19" w14:textId="71350DD6" w:rsidR="00E11BDE" w:rsidRDefault="00E11BDE" w:rsidP="00B80FBD">
      <w:pPr>
        <w:rPr>
          <w:rFonts w:ascii="Verdana" w:eastAsia="Times New Roman" w:hAnsi="Verdana" w:cs="Times New Roman"/>
          <w:highlight w:val="yellow"/>
          <w:lang w:eastAsia="en-GB"/>
        </w:rPr>
      </w:pPr>
    </w:p>
    <w:p w14:paraId="1B60B405" w14:textId="67E6DF3C" w:rsidR="00E11BDE" w:rsidRDefault="00E11BDE" w:rsidP="00B80FBD">
      <w:pPr>
        <w:rPr>
          <w:rFonts w:ascii="Verdana" w:eastAsia="Times New Roman" w:hAnsi="Verdana" w:cs="Times New Roman"/>
          <w:highlight w:val="yellow"/>
          <w:lang w:eastAsia="en-GB"/>
        </w:rPr>
      </w:pPr>
    </w:p>
    <w:p w14:paraId="27AE9AFD" w14:textId="77777777" w:rsidR="008D6DEA" w:rsidRDefault="008D6DEA" w:rsidP="00B80FBD">
      <w:pPr>
        <w:rPr>
          <w:rFonts w:ascii="Verdana" w:eastAsia="Times New Roman" w:hAnsi="Verdana" w:cs="Times New Roman"/>
          <w:highlight w:val="yellow"/>
          <w:lang w:eastAsia="en-GB"/>
        </w:rPr>
      </w:pPr>
    </w:p>
    <w:p w14:paraId="6E7E0D85" w14:textId="77777777" w:rsidR="00E11BDE" w:rsidRPr="00B50CFB" w:rsidRDefault="00E11BDE" w:rsidP="00B80FBD">
      <w:pPr>
        <w:rPr>
          <w:rFonts w:ascii="Verdana" w:eastAsia="Times New Roman" w:hAnsi="Verdana" w:cs="Times New Roman"/>
          <w:highlight w:val="yellow"/>
          <w:lang w:eastAsia="en-GB"/>
        </w:rPr>
      </w:pPr>
    </w:p>
    <w:tbl>
      <w:tblPr>
        <w:tblW w:w="5300" w:type="dxa"/>
        <w:tblLook w:val="04A0" w:firstRow="1" w:lastRow="0" w:firstColumn="1" w:lastColumn="0" w:noHBand="0" w:noVBand="1"/>
      </w:tblPr>
      <w:tblGrid>
        <w:gridCol w:w="2358"/>
        <w:gridCol w:w="1442"/>
        <w:gridCol w:w="1500"/>
      </w:tblGrid>
      <w:tr w:rsidR="003608DA" w:rsidRPr="00B50CFB" w14:paraId="63AF8F19" w14:textId="77777777" w:rsidTr="00742877">
        <w:trPr>
          <w:trHeight w:val="870"/>
        </w:trPr>
        <w:tc>
          <w:tcPr>
            <w:tcW w:w="2358" w:type="dxa"/>
            <w:tcBorders>
              <w:top w:val="single" w:sz="8" w:space="0" w:color="auto"/>
              <w:left w:val="single" w:sz="8" w:space="0" w:color="auto"/>
              <w:bottom w:val="single" w:sz="8" w:space="0" w:color="auto"/>
              <w:right w:val="single" w:sz="8" w:space="0" w:color="auto"/>
            </w:tcBorders>
            <w:shd w:val="clear" w:color="000000" w:fill="C6E0B4"/>
            <w:hideMark/>
          </w:tcPr>
          <w:p w14:paraId="08291185" w14:textId="77777777" w:rsidR="00432A8D" w:rsidRPr="00594B62" w:rsidRDefault="00432A8D" w:rsidP="00432A8D">
            <w:pPr>
              <w:spacing w:after="0" w:line="240" w:lineRule="auto"/>
              <w:rPr>
                <w:rFonts w:ascii="Verdana" w:eastAsia="Times New Roman" w:hAnsi="Verdana" w:cs="Calibri"/>
                <w:b/>
                <w:bCs/>
                <w:color w:val="000000"/>
                <w:lang w:eastAsia="en-GB"/>
              </w:rPr>
            </w:pPr>
            <w:r w:rsidRPr="00594B62">
              <w:rPr>
                <w:rFonts w:ascii="Verdana" w:eastAsia="Times New Roman" w:hAnsi="Verdana" w:cs="Calibri"/>
                <w:b/>
                <w:bCs/>
                <w:color w:val="000000"/>
                <w:lang w:eastAsia="en-GB"/>
              </w:rPr>
              <w:lastRenderedPageBreak/>
              <w:t xml:space="preserve">Total </w:t>
            </w:r>
            <w:r w:rsidR="00E11968">
              <w:rPr>
                <w:rFonts w:ascii="Verdana" w:eastAsia="Times New Roman" w:hAnsi="Verdana" w:cs="Calibri"/>
                <w:b/>
                <w:bCs/>
                <w:color w:val="000000"/>
                <w:lang w:eastAsia="en-GB"/>
              </w:rPr>
              <w:t>n</w:t>
            </w:r>
            <w:r w:rsidRPr="00594B62">
              <w:rPr>
                <w:rFonts w:ascii="Verdana" w:eastAsia="Times New Roman" w:hAnsi="Verdana" w:cs="Calibri"/>
                <w:b/>
                <w:bCs/>
                <w:color w:val="000000"/>
                <w:lang w:eastAsia="en-GB"/>
              </w:rPr>
              <w:t xml:space="preserve">umber </w:t>
            </w:r>
            <w:r w:rsidR="00CD113F">
              <w:rPr>
                <w:rFonts w:ascii="Verdana" w:eastAsia="Times New Roman" w:hAnsi="Verdana" w:cs="Calibri"/>
                <w:b/>
                <w:bCs/>
                <w:color w:val="000000"/>
                <w:lang w:eastAsia="en-GB"/>
              </w:rPr>
              <w:t>of over 7-day injuries</w:t>
            </w:r>
          </w:p>
        </w:tc>
        <w:tc>
          <w:tcPr>
            <w:tcW w:w="1442" w:type="dxa"/>
            <w:tcBorders>
              <w:top w:val="single" w:sz="8" w:space="0" w:color="auto"/>
              <w:left w:val="nil"/>
              <w:bottom w:val="single" w:sz="8" w:space="0" w:color="auto"/>
              <w:right w:val="single" w:sz="8" w:space="0" w:color="auto"/>
            </w:tcBorders>
            <w:shd w:val="clear" w:color="000000" w:fill="C6E0B4"/>
            <w:hideMark/>
          </w:tcPr>
          <w:p w14:paraId="2A91C80D" w14:textId="0E70FA05" w:rsidR="00432A8D" w:rsidRPr="00594B62" w:rsidRDefault="00432A8D" w:rsidP="00432A8D">
            <w:pPr>
              <w:spacing w:after="0" w:line="240" w:lineRule="auto"/>
              <w:rPr>
                <w:rFonts w:ascii="Verdana" w:eastAsia="Times New Roman" w:hAnsi="Verdana" w:cs="Calibri"/>
                <w:b/>
                <w:bCs/>
                <w:color w:val="000000"/>
                <w:lang w:eastAsia="en-GB"/>
              </w:rPr>
            </w:pPr>
            <w:r w:rsidRPr="00594B62">
              <w:rPr>
                <w:rFonts w:ascii="Verdana" w:eastAsia="Times New Roman" w:hAnsi="Verdana" w:cs="Calibri"/>
                <w:b/>
                <w:bCs/>
                <w:color w:val="000000"/>
                <w:lang w:eastAsia="en-GB"/>
              </w:rPr>
              <w:t>201</w:t>
            </w:r>
            <w:r w:rsidR="001B7F7B">
              <w:rPr>
                <w:rFonts w:ascii="Verdana" w:eastAsia="Times New Roman" w:hAnsi="Verdana" w:cs="Calibri"/>
                <w:b/>
                <w:bCs/>
                <w:color w:val="000000"/>
                <w:lang w:eastAsia="en-GB"/>
              </w:rPr>
              <w:t>9</w:t>
            </w:r>
            <w:r w:rsidRPr="00594B62">
              <w:rPr>
                <w:rFonts w:ascii="Verdana" w:eastAsia="Times New Roman" w:hAnsi="Verdana" w:cs="Calibri"/>
                <w:b/>
                <w:bCs/>
                <w:color w:val="000000"/>
                <w:lang w:eastAsia="en-GB"/>
              </w:rPr>
              <w:t>-</w:t>
            </w:r>
            <w:r w:rsidR="001B7F7B">
              <w:rPr>
                <w:rFonts w:ascii="Verdana" w:eastAsia="Times New Roman" w:hAnsi="Verdana" w:cs="Calibri"/>
                <w:b/>
                <w:bCs/>
                <w:color w:val="000000"/>
                <w:lang w:eastAsia="en-GB"/>
              </w:rPr>
              <w:t>20</w:t>
            </w:r>
          </w:p>
        </w:tc>
        <w:tc>
          <w:tcPr>
            <w:tcW w:w="1500" w:type="dxa"/>
            <w:tcBorders>
              <w:top w:val="single" w:sz="4" w:space="0" w:color="auto"/>
              <w:left w:val="nil"/>
              <w:bottom w:val="single" w:sz="8" w:space="0" w:color="auto"/>
              <w:right w:val="single" w:sz="8" w:space="0" w:color="auto"/>
            </w:tcBorders>
            <w:shd w:val="clear" w:color="000000" w:fill="C6E0B4"/>
            <w:hideMark/>
          </w:tcPr>
          <w:p w14:paraId="35B45F0F" w14:textId="2E5437C0" w:rsidR="00432A8D" w:rsidRPr="00594B62" w:rsidRDefault="00432A8D" w:rsidP="00432A8D">
            <w:pPr>
              <w:spacing w:after="0" w:line="240" w:lineRule="auto"/>
              <w:rPr>
                <w:rFonts w:ascii="Verdana" w:eastAsia="Times New Roman" w:hAnsi="Verdana" w:cs="Calibri"/>
                <w:b/>
                <w:bCs/>
                <w:color w:val="000000"/>
                <w:lang w:eastAsia="en-GB"/>
              </w:rPr>
            </w:pPr>
            <w:r w:rsidRPr="00594B62">
              <w:rPr>
                <w:rFonts w:ascii="Verdana" w:eastAsia="Times New Roman" w:hAnsi="Verdana" w:cs="Calibri"/>
                <w:b/>
                <w:bCs/>
                <w:color w:val="000000"/>
                <w:lang w:eastAsia="en-GB"/>
              </w:rPr>
              <w:t>20</w:t>
            </w:r>
            <w:r w:rsidR="001B7F7B">
              <w:rPr>
                <w:rFonts w:ascii="Verdana" w:eastAsia="Times New Roman" w:hAnsi="Verdana" w:cs="Calibri"/>
                <w:b/>
                <w:bCs/>
                <w:color w:val="000000"/>
                <w:lang w:eastAsia="en-GB"/>
              </w:rPr>
              <w:t>20</w:t>
            </w:r>
            <w:r w:rsidRPr="00594B62">
              <w:rPr>
                <w:rFonts w:ascii="Verdana" w:eastAsia="Times New Roman" w:hAnsi="Verdana" w:cs="Calibri"/>
                <w:b/>
                <w:bCs/>
                <w:color w:val="000000"/>
                <w:lang w:eastAsia="en-GB"/>
              </w:rPr>
              <w:t>-</w:t>
            </w:r>
            <w:r w:rsidR="00936AB5">
              <w:rPr>
                <w:rFonts w:ascii="Verdana" w:eastAsia="Times New Roman" w:hAnsi="Verdana" w:cs="Calibri"/>
                <w:b/>
                <w:bCs/>
                <w:color w:val="000000"/>
                <w:lang w:eastAsia="en-GB"/>
              </w:rPr>
              <w:t>2</w:t>
            </w:r>
            <w:r w:rsidR="001B7F7B">
              <w:rPr>
                <w:rFonts w:ascii="Verdana" w:eastAsia="Times New Roman" w:hAnsi="Verdana" w:cs="Calibri"/>
                <w:b/>
                <w:bCs/>
                <w:color w:val="000000"/>
                <w:lang w:eastAsia="en-GB"/>
              </w:rPr>
              <w:t>1</w:t>
            </w:r>
          </w:p>
        </w:tc>
      </w:tr>
      <w:tr w:rsidR="003608DA" w:rsidRPr="00B50CFB" w14:paraId="3A409C2B" w14:textId="77777777" w:rsidTr="00742877">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111AB50" w14:textId="59D36FAE" w:rsidR="00936AB5" w:rsidRPr="00594B62" w:rsidRDefault="00073A29"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Suffolk</w:t>
            </w:r>
          </w:p>
        </w:tc>
        <w:tc>
          <w:tcPr>
            <w:tcW w:w="1442" w:type="dxa"/>
            <w:tcBorders>
              <w:top w:val="nil"/>
              <w:left w:val="nil"/>
              <w:bottom w:val="single" w:sz="8" w:space="0" w:color="auto"/>
              <w:right w:val="single" w:sz="8" w:space="0" w:color="auto"/>
            </w:tcBorders>
            <w:shd w:val="clear" w:color="auto" w:fill="auto"/>
          </w:tcPr>
          <w:p w14:paraId="7DE61837" w14:textId="07335DC6"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w:t>
            </w:r>
          </w:p>
        </w:tc>
        <w:tc>
          <w:tcPr>
            <w:tcW w:w="1500" w:type="dxa"/>
            <w:tcBorders>
              <w:top w:val="nil"/>
              <w:left w:val="nil"/>
              <w:bottom w:val="single" w:sz="8" w:space="0" w:color="auto"/>
              <w:right w:val="single" w:sz="8" w:space="0" w:color="auto"/>
            </w:tcBorders>
            <w:shd w:val="clear" w:color="auto" w:fill="auto"/>
            <w:noWrap/>
          </w:tcPr>
          <w:p w14:paraId="7F3BF55B" w14:textId="3224DB0A"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r>
      <w:tr w:rsidR="003608DA" w:rsidRPr="00B50CFB" w14:paraId="5A82D2BF" w14:textId="77777777" w:rsidTr="00742877">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BB3FE0D" w14:textId="028FABAE" w:rsidR="00936AB5" w:rsidRPr="00594B62" w:rsidRDefault="00073A29"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Warwickshire</w:t>
            </w:r>
          </w:p>
        </w:tc>
        <w:tc>
          <w:tcPr>
            <w:tcW w:w="1442" w:type="dxa"/>
            <w:tcBorders>
              <w:top w:val="nil"/>
              <w:left w:val="nil"/>
              <w:bottom w:val="single" w:sz="8" w:space="0" w:color="auto"/>
              <w:right w:val="single" w:sz="8" w:space="0" w:color="auto"/>
            </w:tcBorders>
            <w:shd w:val="clear" w:color="auto" w:fill="auto"/>
          </w:tcPr>
          <w:p w14:paraId="23263029" w14:textId="58F4863B"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p>
        </w:tc>
        <w:tc>
          <w:tcPr>
            <w:tcW w:w="1500" w:type="dxa"/>
            <w:tcBorders>
              <w:top w:val="nil"/>
              <w:left w:val="nil"/>
              <w:bottom w:val="single" w:sz="8" w:space="0" w:color="auto"/>
              <w:right w:val="single" w:sz="8" w:space="0" w:color="auto"/>
            </w:tcBorders>
            <w:shd w:val="clear" w:color="auto" w:fill="auto"/>
            <w:noWrap/>
          </w:tcPr>
          <w:p w14:paraId="0B125CE7" w14:textId="63E3D4A5"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r>
      <w:tr w:rsidR="003608DA" w:rsidRPr="00B50CFB" w14:paraId="57745564" w14:textId="77777777" w:rsidTr="00742877">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7DBD881" w14:textId="017CA5EC" w:rsidR="00936AB5" w:rsidRPr="00594B62" w:rsidRDefault="00073A29"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Berkshire</w:t>
            </w:r>
          </w:p>
        </w:tc>
        <w:tc>
          <w:tcPr>
            <w:tcW w:w="1442" w:type="dxa"/>
            <w:tcBorders>
              <w:top w:val="nil"/>
              <w:left w:val="nil"/>
              <w:bottom w:val="single" w:sz="8" w:space="0" w:color="auto"/>
              <w:right w:val="single" w:sz="8" w:space="0" w:color="auto"/>
            </w:tcBorders>
            <w:shd w:val="clear" w:color="auto" w:fill="auto"/>
          </w:tcPr>
          <w:p w14:paraId="780DB503" w14:textId="77777777" w:rsidR="00936AB5" w:rsidRPr="00594B62" w:rsidRDefault="00DD2D2D"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p>
        </w:tc>
        <w:tc>
          <w:tcPr>
            <w:tcW w:w="1500" w:type="dxa"/>
            <w:tcBorders>
              <w:top w:val="nil"/>
              <w:left w:val="nil"/>
              <w:bottom w:val="single" w:sz="8" w:space="0" w:color="auto"/>
              <w:right w:val="single" w:sz="8" w:space="0" w:color="auto"/>
            </w:tcBorders>
            <w:shd w:val="clear" w:color="auto" w:fill="auto"/>
            <w:noWrap/>
          </w:tcPr>
          <w:p w14:paraId="40E6205D" w14:textId="66EE23C0"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p>
        </w:tc>
      </w:tr>
      <w:tr w:rsidR="003608DA" w:rsidRPr="00B50CFB" w14:paraId="633AC4B1" w14:textId="77777777" w:rsidTr="00742877">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4FCD3B8" w14:textId="48A4D5F7" w:rsidR="00936AB5" w:rsidRPr="00594B62" w:rsidRDefault="00073A29"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West Sussex</w:t>
            </w:r>
          </w:p>
        </w:tc>
        <w:tc>
          <w:tcPr>
            <w:tcW w:w="1442" w:type="dxa"/>
            <w:tcBorders>
              <w:top w:val="nil"/>
              <w:left w:val="nil"/>
              <w:bottom w:val="single" w:sz="8" w:space="0" w:color="auto"/>
              <w:right w:val="single" w:sz="8" w:space="0" w:color="auto"/>
            </w:tcBorders>
            <w:shd w:val="clear" w:color="auto" w:fill="auto"/>
          </w:tcPr>
          <w:p w14:paraId="1252ED06" w14:textId="6E8D4E35"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p>
        </w:tc>
        <w:tc>
          <w:tcPr>
            <w:tcW w:w="1500" w:type="dxa"/>
            <w:tcBorders>
              <w:top w:val="nil"/>
              <w:left w:val="nil"/>
              <w:bottom w:val="single" w:sz="8" w:space="0" w:color="auto"/>
              <w:right w:val="single" w:sz="8" w:space="0" w:color="auto"/>
            </w:tcBorders>
            <w:shd w:val="clear" w:color="auto" w:fill="auto"/>
            <w:noWrap/>
          </w:tcPr>
          <w:p w14:paraId="125BB4FB" w14:textId="799282DD"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p>
        </w:tc>
      </w:tr>
      <w:tr w:rsidR="003608DA" w:rsidRPr="00B50CFB" w14:paraId="0E05D4A4" w14:textId="77777777" w:rsidTr="00073A29">
        <w:trPr>
          <w:trHeight w:val="315"/>
        </w:trPr>
        <w:tc>
          <w:tcPr>
            <w:tcW w:w="2358" w:type="dxa"/>
            <w:tcBorders>
              <w:top w:val="nil"/>
              <w:left w:val="single" w:sz="8" w:space="0" w:color="auto"/>
              <w:bottom w:val="single" w:sz="8" w:space="0" w:color="auto"/>
              <w:right w:val="single" w:sz="8" w:space="0" w:color="auto"/>
            </w:tcBorders>
            <w:shd w:val="clear" w:color="auto" w:fill="FFFF00"/>
            <w:hideMark/>
          </w:tcPr>
          <w:p w14:paraId="6098AD64" w14:textId="386A80A7" w:rsidR="00936AB5" w:rsidRPr="00073A29" w:rsidRDefault="00073A29" w:rsidP="00936AB5">
            <w:pPr>
              <w:spacing w:after="0" w:line="240" w:lineRule="auto"/>
              <w:rPr>
                <w:rFonts w:ascii="Verdana" w:eastAsia="Times New Roman" w:hAnsi="Verdana" w:cs="Calibri"/>
                <w:b/>
                <w:bCs/>
                <w:color w:val="000000"/>
                <w:lang w:eastAsia="en-GB"/>
              </w:rPr>
            </w:pPr>
            <w:r w:rsidRPr="00073A29">
              <w:rPr>
                <w:rFonts w:ascii="Verdana" w:eastAsia="Times New Roman" w:hAnsi="Verdana" w:cs="Calibri"/>
                <w:b/>
                <w:bCs/>
                <w:color w:val="000000"/>
                <w:lang w:eastAsia="en-GB"/>
              </w:rPr>
              <w:t>Buckinghamshire</w:t>
            </w:r>
          </w:p>
        </w:tc>
        <w:tc>
          <w:tcPr>
            <w:tcW w:w="1442" w:type="dxa"/>
            <w:tcBorders>
              <w:top w:val="nil"/>
              <w:left w:val="nil"/>
              <w:bottom w:val="single" w:sz="8" w:space="0" w:color="auto"/>
              <w:right w:val="single" w:sz="8" w:space="0" w:color="auto"/>
            </w:tcBorders>
            <w:shd w:val="clear" w:color="auto" w:fill="FFFF00"/>
          </w:tcPr>
          <w:p w14:paraId="5C40AF2A" w14:textId="73E2A5FD" w:rsidR="00936AB5" w:rsidRPr="00073A29" w:rsidRDefault="00073A29" w:rsidP="00936AB5">
            <w:pPr>
              <w:spacing w:after="0" w:line="240" w:lineRule="auto"/>
              <w:jc w:val="right"/>
              <w:rPr>
                <w:rFonts w:ascii="Verdana" w:eastAsia="Times New Roman" w:hAnsi="Verdana" w:cs="Calibri"/>
                <w:b/>
                <w:bCs/>
                <w:color w:val="000000"/>
                <w:lang w:eastAsia="en-GB"/>
              </w:rPr>
            </w:pPr>
            <w:r w:rsidRPr="00073A29">
              <w:rPr>
                <w:rFonts w:ascii="Verdana" w:eastAsia="Times New Roman" w:hAnsi="Verdana" w:cs="Calibri"/>
                <w:b/>
                <w:bCs/>
                <w:color w:val="000000"/>
                <w:lang w:eastAsia="en-GB"/>
              </w:rPr>
              <w:t>6</w:t>
            </w:r>
          </w:p>
        </w:tc>
        <w:tc>
          <w:tcPr>
            <w:tcW w:w="1500" w:type="dxa"/>
            <w:tcBorders>
              <w:top w:val="nil"/>
              <w:left w:val="nil"/>
              <w:bottom w:val="single" w:sz="8" w:space="0" w:color="auto"/>
              <w:right w:val="single" w:sz="8" w:space="0" w:color="auto"/>
            </w:tcBorders>
            <w:shd w:val="clear" w:color="auto" w:fill="FFFF00"/>
            <w:noWrap/>
          </w:tcPr>
          <w:p w14:paraId="388CD64B" w14:textId="01080682" w:rsidR="00936AB5" w:rsidRPr="00073A29" w:rsidRDefault="00073A29" w:rsidP="00936AB5">
            <w:pPr>
              <w:spacing w:after="0" w:line="240" w:lineRule="auto"/>
              <w:jc w:val="right"/>
              <w:rPr>
                <w:rFonts w:ascii="Verdana" w:eastAsia="Times New Roman" w:hAnsi="Verdana" w:cs="Calibri"/>
                <w:b/>
                <w:bCs/>
                <w:color w:val="000000"/>
                <w:lang w:eastAsia="en-GB"/>
              </w:rPr>
            </w:pPr>
            <w:r w:rsidRPr="00073A29">
              <w:rPr>
                <w:rFonts w:ascii="Verdana" w:eastAsia="Times New Roman" w:hAnsi="Verdana" w:cs="Calibri"/>
                <w:b/>
                <w:bCs/>
                <w:color w:val="000000"/>
                <w:lang w:eastAsia="en-GB"/>
              </w:rPr>
              <w:t>3</w:t>
            </w:r>
          </w:p>
        </w:tc>
      </w:tr>
      <w:tr w:rsidR="003608DA" w:rsidRPr="00B50CFB" w14:paraId="01CE1399" w14:textId="77777777" w:rsidTr="00073A29">
        <w:trPr>
          <w:trHeight w:val="315"/>
        </w:trPr>
        <w:tc>
          <w:tcPr>
            <w:tcW w:w="2358" w:type="dxa"/>
            <w:tcBorders>
              <w:top w:val="nil"/>
              <w:left w:val="single" w:sz="8" w:space="0" w:color="auto"/>
              <w:bottom w:val="single" w:sz="8" w:space="0" w:color="auto"/>
              <w:right w:val="single" w:sz="8" w:space="0" w:color="auto"/>
            </w:tcBorders>
            <w:shd w:val="clear" w:color="auto" w:fill="auto"/>
          </w:tcPr>
          <w:p w14:paraId="10BB3F71" w14:textId="1E27AB51" w:rsidR="00936AB5" w:rsidRPr="00073A29" w:rsidRDefault="00073A29" w:rsidP="00936AB5">
            <w:pPr>
              <w:spacing w:after="0" w:line="240" w:lineRule="auto"/>
              <w:rPr>
                <w:rFonts w:ascii="Verdana" w:eastAsia="Times New Roman" w:hAnsi="Verdana" w:cs="Calibri"/>
                <w:bCs/>
                <w:color w:val="000000"/>
                <w:lang w:eastAsia="en-GB"/>
              </w:rPr>
            </w:pPr>
            <w:r>
              <w:rPr>
                <w:rFonts w:ascii="Verdana" w:eastAsia="Times New Roman" w:hAnsi="Verdana" w:cs="Calibri"/>
                <w:bCs/>
                <w:color w:val="000000"/>
                <w:lang w:eastAsia="en-GB"/>
              </w:rPr>
              <w:t>Hereford and Worcester</w:t>
            </w:r>
          </w:p>
        </w:tc>
        <w:tc>
          <w:tcPr>
            <w:tcW w:w="1442" w:type="dxa"/>
            <w:tcBorders>
              <w:top w:val="nil"/>
              <w:left w:val="nil"/>
              <w:bottom w:val="single" w:sz="8" w:space="0" w:color="auto"/>
              <w:right w:val="single" w:sz="8" w:space="0" w:color="auto"/>
            </w:tcBorders>
            <w:shd w:val="clear" w:color="auto" w:fill="auto"/>
          </w:tcPr>
          <w:p w14:paraId="7A7D9DCD" w14:textId="104B567F" w:rsidR="00936AB5" w:rsidRPr="00073A29" w:rsidRDefault="00073A29" w:rsidP="00936AB5">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8</w:t>
            </w:r>
          </w:p>
        </w:tc>
        <w:tc>
          <w:tcPr>
            <w:tcW w:w="1500" w:type="dxa"/>
            <w:tcBorders>
              <w:top w:val="nil"/>
              <w:left w:val="nil"/>
              <w:bottom w:val="single" w:sz="8" w:space="0" w:color="auto"/>
              <w:right w:val="single" w:sz="8" w:space="0" w:color="auto"/>
            </w:tcBorders>
            <w:shd w:val="clear" w:color="auto" w:fill="auto"/>
            <w:noWrap/>
          </w:tcPr>
          <w:p w14:paraId="401BB3D0" w14:textId="307138AA" w:rsidR="00936AB5" w:rsidRPr="00073A29" w:rsidRDefault="00073A29" w:rsidP="00936AB5">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4</w:t>
            </w:r>
          </w:p>
        </w:tc>
      </w:tr>
      <w:tr w:rsidR="003608DA" w:rsidRPr="00B50CFB" w14:paraId="68AD1B95" w14:textId="77777777" w:rsidTr="005C797A">
        <w:trPr>
          <w:trHeight w:val="315"/>
        </w:trPr>
        <w:tc>
          <w:tcPr>
            <w:tcW w:w="2358" w:type="dxa"/>
            <w:tcBorders>
              <w:top w:val="nil"/>
              <w:left w:val="single" w:sz="8" w:space="0" w:color="auto"/>
              <w:bottom w:val="single" w:sz="8" w:space="0" w:color="auto"/>
              <w:right w:val="single" w:sz="8" w:space="0" w:color="auto"/>
            </w:tcBorders>
            <w:shd w:val="clear" w:color="auto" w:fill="auto"/>
          </w:tcPr>
          <w:p w14:paraId="59D290AC" w14:textId="77777777" w:rsidR="00936AB5" w:rsidRPr="00594B62" w:rsidRDefault="00CF7B54"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Oxfordshire</w:t>
            </w:r>
          </w:p>
        </w:tc>
        <w:tc>
          <w:tcPr>
            <w:tcW w:w="1442" w:type="dxa"/>
            <w:tcBorders>
              <w:top w:val="nil"/>
              <w:left w:val="nil"/>
              <w:bottom w:val="single" w:sz="8" w:space="0" w:color="auto"/>
              <w:right w:val="single" w:sz="8" w:space="0" w:color="auto"/>
            </w:tcBorders>
            <w:shd w:val="clear" w:color="auto" w:fill="auto"/>
          </w:tcPr>
          <w:p w14:paraId="7E050A3F" w14:textId="5730D878"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w:t>
            </w:r>
          </w:p>
        </w:tc>
        <w:tc>
          <w:tcPr>
            <w:tcW w:w="1500" w:type="dxa"/>
            <w:tcBorders>
              <w:top w:val="nil"/>
              <w:left w:val="nil"/>
              <w:bottom w:val="single" w:sz="8" w:space="0" w:color="auto"/>
              <w:right w:val="single" w:sz="8" w:space="0" w:color="auto"/>
            </w:tcBorders>
            <w:shd w:val="clear" w:color="auto" w:fill="auto"/>
            <w:noWrap/>
          </w:tcPr>
          <w:p w14:paraId="22671C15" w14:textId="423100C2"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r>
      <w:tr w:rsidR="003608DA" w:rsidRPr="00B50CFB" w14:paraId="2FFFB971" w14:textId="77777777" w:rsidTr="00742877">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40807AF" w14:textId="1ECA0D34" w:rsidR="00936AB5" w:rsidRPr="00594B62" w:rsidRDefault="00073A29"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East Sussex</w:t>
            </w:r>
          </w:p>
        </w:tc>
        <w:tc>
          <w:tcPr>
            <w:tcW w:w="1442" w:type="dxa"/>
            <w:tcBorders>
              <w:top w:val="nil"/>
              <w:left w:val="nil"/>
              <w:bottom w:val="single" w:sz="8" w:space="0" w:color="auto"/>
              <w:right w:val="single" w:sz="8" w:space="0" w:color="auto"/>
            </w:tcBorders>
            <w:shd w:val="clear" w:color="auto" w:fill="auto"/>
          </w:tcPr>
          <w:p w14:paraId="531B9545" w14:textId="14DD296F"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10</w:t>
            </w:r>
          </w:p>
        </w:tc>
        <w:tc>
          <w:tcPr>
            <w:tcW w:w="1500" w:type="dxa"/>
            <w:tcBorders>
              <w:top w:val="nil"/>
              <w:left w:val="nil"/>
              <w:bottom w:val="single" w:sz="8" w:space="0" w:color="auto"/>
              <w:right w:val="single" w:sz="8" w:space="0" w:color="auto"/>
            </w:tcBorders>
            <w:shd w:val="clear" w:color="auto" w:fill="auto"/>
            <w:noWrap/>
          </w:tcPr>
          <w:p w14:paraId="643A69F5" w14:textId="64D6E18E" w:rsidR="00936AB5" w:rsidRPr="00594B62" w:rsidRDefault="00073A29"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5</w:t>
            </w:r>
          </w:p>
        </w:tc>
      </w:tr>
      <w:tr w:rsidR="003608DA" w:rsidRPr="00B50CFB" w14:paraId="576A1937" w14:textId="77777777" w:rsidTr="00DD2D2D">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079EAF0" w14:textId="097F4886" w:rsidR="00936AB5" w:rsidRPr="00DD2D2D" w:rsidRDefault="003608DA"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Northamptonshire</w:t>
            </w:r>
          </w:p>
        </w:tc>
        <w:tc>
          <w:tcPr>
            <w:tcW w:w="1442" w:type="dxa"/>
            <w:tcBorders>
              <w:top w:val="nil"/>
              <w:left w:val="nil"/>
              <w:bottom w:val="single" w:sz="8" w:space="0" w:color="auto"/>
              <w:right w:val="single" w:sz="8" w:space="0" w:color="auto"/>
            </w:tcBorders>
            <w:shd w:val="clear" w:color="auto" w:fill="auto"/>
          </w:tcPr>
          <w:p w14:paraId="6036A638" w14:textId="2AF29206" w:rsidR="00936AB5" w:rsidRPr="00DD2D2D" w:rsidRDefault="003608DA"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w:t>
            </w:r>
          </w:p>
        </w:tc>
        <w:tc>
          <w:tcPr>
            <w:tcW w:w="1500" w:type="dxa"/>
            <w:tcBorders>
              <w:top w:val="nil"/>
              <w:left w:val="nil"/>
              <w:bottom w:val="single" w:sz="8" w:space="0" w:color="auto"/>
              <w:right w:val="single" w:sz="8" w:space="0" w:color="auto"/>
            </w:tcBorders>
            <w:shd w:val="clear" w:color="auto" w:fill="auto"/>
            <w:noWrap/>
          </w:tcPr>
          <w:p w14:paraId="2B93928E" w14:textId="79F6925D" w:rsidR="00936AB5" w:rsidRPr="00DD2D2D" w:rsidRDefault="003608DA"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5</w:t>
            </w:r>
          </w:p>
        </w:tc>
      </w:tr>
      <w:tr w:rsidR="003608DA" w:rsidRPr="00B50CFB" w14:paraId="46EE2F05" w14:textId="77777777" w:rsidTr="00742877">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1C5645B3" w14:textId="44F3D5E2" w:rsidR="00936AB5" w:rsidRPr="00594B62" w:rsidRDefault="003608DA"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Bedfordshire</w:t>
            </w:r>
          </w:p>
        </w:tc>
        <w:tc>
          <w:tcPr>
            <w:tcW w:w="1442" w:type="dxa"/>
            <w:tcBorders>
              <w:top w:val="nil"/>
              <w:left w:val="nil"/>
              <w:bottom w:val="single" w:sz="8" w:space="0" w:color="auto"/>
              <w:right w:val="single" w:sz="8" w:space="0" w:color="auto"/>
            </w:tcBorders>
            <w:shd w:val="clear" w:color="auto" w:fill="auto"/>
          </w:tcPr>
          <w:p w14:paraId="34BC9B07" w14:textId="5155A19E" w:rsidR="00936AB5" w:rsidRPr="00594B62" w:rsidRDefault="003608DA"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c>
          <w:tcPr>
            <w:tcW w:w="1500" w:type="dxa"/>
            <w:tcBorders>
              <w:top w:val="nil"/>
              <w:left w:val="nil"/>
              <w:bottom w:val="single" w:sz="8" w:space="0" w:color="auto"/>
              <w:right w:val="single" w:sz="8" w:space="0" w:color="auto"/>
            </w:tcBorders>
            <w:shd w:val="clear" w:color="auto" w:fill="auto"/>
            <w:noWrap/>
          </w:tcPr>
          <w:p w14:paraId="42941B75" w14:textId="7A6EA518" w:rsidR="00936AB5" w:rsidRPr="00594B62" w:rsidRDefault="003608DA"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r>
      <w:tr w:rsidR="003608DA" w:rsidRPr="00B50CFB" w14:paraId="282AEB1B" w14:textId="77777777" w:rsidTr="00CF7B54">
        <w:trPr>
          <w:trHeight w:val="393"/>
        </w:trPr>
        <w:tc>
          <w:tcPr>
            <w:tcW w:w="2358" w:type="dxa"/>
            <w:tcBorders>
              <w:top w:val="nil"/>
              <w:left w:val="single" w:sz="8" w:space="0" w:color="auto"/>
              <w:bottom w:val="single" w:sz="8" w:space="0" w:color="auto"/>
              <w:right w:val="single" w:sz="8" w:space="0" w:color="auto"/>
            </w:tcBorders>
            <w:shd w:val="clear" w:color="auto" w:fill="auto"/>
            <w:hideMark/>
          </w:tcPr>
          <w:p w14:paraId="3A8EB2A6" w14:textId="6AA8E117" w:rsidR="00936AB5" w:rsidRPr="00594B62" w:rsidRDefault="003608DA"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Cambridgeshire</w:t>
            </w:r>
          </w:p>
        </w:tc>
        <w:tc>
          <w:tcPr>
            <w:tcW w:w="1442" w:type="dxa"/>
            <w:tcBorders>
              <w:top w:val="nil"/>
              <w:left w:val="nil"/>
              <w:bottom w:val="single" w:sz="8" w:space="0" w:color="auto"/>
              <w:right w:val="single" w:sz="8" w:space="0" w:color="auto"/>
            </w:tcBorders>
            <w:shd w:val="clear" w:color="auto" w:fill="auto"/>
          </w:tcPr>
          <w:p w14:paraId="0F68705C" w14:textId="23FEF22E" w:rsidR="00936AB5" w:rsidRPr="00594B62" w:rsidRDefault="003608DA"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8</w:t>
            </w:r>
          </w:p>
        </w:tc>
        <w:tc>
          <w:tcPr>
            <w:tcW w:w="1500" w:type="dxa"/>
            <w:tcBorders>
              <w:top w:val="nil"/>
              <w:left w:val="nil"/>
              <w:bottom w:val="single" w:sz="8" w:space="0" w:color="auto"/>
              <w:right w:val="single" w:sz="8" w:space="0" w:color="auto"/>
            </w:tcBorders>
            <w:shd w:val="clear" w:color="auto" w:fill="auto"/>
            <w:noWrap/>
          </w:tcPr>
          <w:p w14:paraId="34AB3C09" w14:textId="035E8F9A" w:rsidR="00936AB5" w:rsidRPr="00594B62" w:rsidRDefault="00263827"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r>
      <w:tr w:rsidR="003608DA" w:rsidRPr="00B50CFB" w14:paraId="5FD2391C" w14:textId="77777777" w:rsidTr="005C797A">
        <w:trPr>
          <w:trHeight w:val="382"/>
        </w:trPr>
        <w:tc>
          <w:tcPr>
            <w:tcW w:w="2358" w:type="dxa"/>
            <w:tcBorders>
              <w:top w:val="nil"/>
              <w:left w:val="single" w:sz="8" w:space="0" w:color="auto"/>
              <w:bottom w:val="single" w:sz="8" w:space="0" w:color="auto"/>
              <w:right w:val="single" w:sz="8" w:space="0" w:color="auto"/>
            </w:tcBorders>
            <w:shd w:val="clear" w:color="auto" w:fill="auto"/>
            <w:hideMark/>
          </w:tcPr>
          <w:p w14:paraId="118A2960" w14:textId="77777777" w:rsidR="00936AB5" w:rsidRPr="00594B62" w:rsidRDefault="00936AB5" w:rsidP="00936AB5">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Norfolk</w:t>
            </w:r>
          </w:p>
        </w:tc>
        <w:tc>
          <w:tcPr>
            <w:tcW w:w="1442" w:type="dxa"/>
            <w:tcBorders>
              <w:top w:val="nil"/>
              <w:left w:val="nil"/>
              <w:bottom w:val="single" w:sz="8" w:space="0" w:color="auto"/>
              <w:right w:val="single" w:sz="8" w:space="0" w:color="auto"/>
            </w:tcBorders>
            <w:shd w:val="clear" w:color="auto" w:fill="auto"/>
          </w:tcPr>
          <w:p w14:paraId="7C62150C" w14:textId="3059E54C" w:rsidR="00936AB5" w:rsidRPr="00594B62" w:rsidRDefault="00936AB5"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r w:rsidR="00263827">
              <w:rPr>
                <w:rFonts w:ascii="Verdana" w:eastAsia="Times New Roman" w:hAnsi="Verdana" w:cs="Calibri"/>
                <w:color w:val="000000"/>
                <w:lang w:eastAsia="en-GB"/>
              </w:rPr>
              <w:t>2</w:t>
            </w:r>
          </w:p>
        </w:tc>
        <w:tc>
          <w:tcPr>
            <w:tcW w:w="1500" w:type="dxa"/>
            <w:tcBorders>
              <w:top w:val="nil"/>
              <w:left w:val="nil"/>
              <w:bottom w:val="single" w:sz="8" w:space="0" w:color="auto"/>
              <w:right w:val="single" w:sz="8" w:space="0" w:color="auto"/>
            </w:tcBorders>
            <w:shd w:val="clear" w:color="auto" w:fill="auto"/>
            <w:noWrap/>
          </w:tcPr>
          <w:p w14:paraId="59CE7102" w14:textId="759185EF" w:rsidR="00936AB5" w:rsidRPr="00594B62" w:rsidRDefault="00263827" w:rsidP="00936AB5">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8</w:t>
            </w:r>
          </w:p>
        </w:tc>
      </w:tr>
    </w:tbl>
    <w:p w14:paraId="1EE5C9C8" w14:textId="77777777" w:rsidR="00432A8D" w:rsidRPr="00B50CFB" w:rsidRDefault="00432A8D" w:rsidP="00B80FBD">
      <w:pPr>
        <w:rPr>
          <w:rFonts w:ascii="Verdana" w:eastAsia="Times New Roman" w:hAnsi="Verdana" w:cs="Times New Roman"/>
          <w:highlight w:val="yellow"/>
          <w:lang w:eastAsia="en-GB"/>
        </w:rPr>
      </w:pPr>
    </w:p>
    <w:p w14:paraId="1821409F" w14:textId="2170439F" w:rsidR="00BD6A0F" w:rsidRDefault="00BD6A0F" w:rsidP="00B80FBD">
      <w:pPr>
        <w:rPr>
          <w:rFonts w:ascii="Verdana" w:eastAsia="Times New Roman" w:hAnsi="Verdana" w:cs="Times New Roman"/>
          <w:highlight w:val="yellow"/>
          <w:lang w:eastAsia="en-GB"/>
        </w:rPr>
      </w:pPr>
    </w:p>
    <w:p w14:paraId="6ADEE714" w14:textId="3FABFFDC" w:rsidR="00A9276F" w:rsidRPr="00A9276F" w:rsidRDefault="00A9276F" w:rsidP="00B80FBD">
      <w:pPr>
        <w:rPr>
          <w:rFonts w:ascii="Verdana" w:eastAsia="Times New Roman" w:hAnsi="Verdana" w:cs="Times New Roman"/>
          <w:i/>
          <w:iCs/>
          <w:lang w:eastAsia="en-GB"/>
        </w:rPr>
      </w:pPr>
      <w:r>
        <w:rPr>
          <w:rFonts w:ascii="Verdana" w:eastAsia="Times New Roman" w:hAnsi="Verdana" w:cs="Times New Roman"/>
          <w:i/>
          <w:iCs/>
          <w:lang w:eastAsia="en-GB"/>
        </w:rPr>
        <w:t>*</w:t>
      </w:r>
      <w:r w:rsidRPr="00A9276F">
        <w:rPr>
          <w:rFonts w:ascii="Verdana" w:eastAsia="Times New Roman" w:hAnsi="Verdana" w:cs="Times New Roman"/>
          <w:i/>
          <w:iCs/>
          <w:lang w:eastAsia="en-GB"/>
        </w:rPr>
        <w:t>Please note the Services shown in the table below are placed in alphabetical order. There were no major injuries in seven of the 12 Services.</w:t>
      </w:r>
    </w:p>
    <w:tbl>
      <w:tblPr>
        <w:tblW w:w="5300" w:type="dxa"/>
        <w:tblLook w:val="04A0" w:firstRow="1" w:lastRow="0" w:firstColumn="1" w:lastColumn="0" w:noHBand="0" w:noVBand="1"/>
      </w:tblPr>
      <w:tblGrid>
        <w:gridCol w:w="2358"/>
        <w:gridCol w:w="1442"/>
        <w:gridCol w:w="1500"/>
      </w:tblGrid>
      <w:tr w:rsidR="007B1B9A" w:rsidRPr="00B50CFB" w14:paraId="40E64F13" w14:textId="77777777" w:rsidTr="00E635C4">
        <w:trPr>
          <w:trHeight w:val="585"/>
        </w:trPr>
        <w:tc>
          <w:tcPr>
            <w:tcW w:w="2358" w:type="dxa"/>
            <w:tcBorders>
              <w:top w:val="single" w:sz="8" w:space="0" w:color="auto"/>
              <w:left w:val="single" w:sz="8" w:space="0" w:color="auto"/>
              <w:bottom w:val="single" w:sz="8" w:space="0" w:color="auto"/>
              <w:right w:val="single" w:sz="8" w:space="0" w:color="auto"/>
            </w:tcBorders>
            <w:shd w:val="clear" w:color="000000" w:fill="C6E0B4"/>
            <w:hideMark/>
          </w:tcPr>
          <w:p w14:paraId="4EB8C404" w14:textId="77777777" w:rsidR="00432A8D" w:rsidRPr="00726DA3" w:rsidRDefault="00432A8D" w:rsidP="00432A8D">
            <w:pPr>
              <w:spacing w:after="0" w:line="240" w:lineRule="auto"/>
              <w:rPr>
                <w:rFonts w:ascii="Verdana" w:eastAsia="Times New Roman" w:hAnsi="Verdana" w:cs="Calibri"/>
                <w:b/>
                <w:bCs/>
                <w:color w:val="000000"/>
                <w:lang w:eastAsia="en-GB"/>
              </w:rPr>
            </w:pPr>
            <w:r w:rsidRPr="00726DA3">
              <w:rPr>
                <w:rFonts w:ascii="Verdana" w:eastAsia="Times New Roman" w:hAnsi="Verdana" w:cs="Calibri"/>
                <w:b/>
                <w:bCs/>
                <w:color w:val="000000"/>
                <w:lang w:eastAsia="en-GB"/>
              </w:rPr>
              <w:t xml:space="preserve">Total </w:t>
            </w:r>
            <w:r w:rsidR="00E11968">
              <w:rPr>
                <w:rFonts w:ascii="Verdana" w:eastAsia="Times New Roman" w:hAnsi="Verdana" w:cs="Calibri"/>
                <w:b/>
                <w:bCs/>
                <w:color w:val="000000"/>
                <w:lang w:eastAsia="en-GB"/>
              </w:rPr>
              <w:t>n</w:t>
            </w:r>
            <w:r w:rsidRPr="00726DA3">
              <w:rPr>
                <w:rFonts w:ascii="Verdana" w:eastAsia="Times New Roman" w:hAnsi="Verdana" w:cs="Calibri"/>
                <w:b/>
                <w:bCs/>
                <w:color w:val="000000"/>
                <w:lang w:eastAsia="en-GB"/>
              </w:rPr>
              <w:t xml:space="preserve">umber of </w:t>
            </w:r>
            <w:r w:rsidR="00E11968">
              <w:rPr>
                <w:rFonts w:ascii="Verdana" w:eastAsia="Times New Roman" w:hAnsi="Verdana" w:cs="Calibri"/>
                <w:b/>
                <w:bCs/>
                <w:color w:val="000000"/>
                <w:lang w:eastAsia="en-GB"/>
              </w:rPr>
              <w:t>m</w:t>
            </w:r>
            <w:r w:rsidRPr="00726DA3">
              <w:rPr>
                <w:rFonts w:ascii="Verdana" w:eastAsia="Times New Roman" w:hAnsi="Verdana" w:cs="Calibri"/>
                <w:b/>
                <w:bCs/>
                <w:color w:val="000000"/>
                <w:lang w:eastAsia="en-GB"/>
              </w:rPr>
              <w:t xml:space="preserve">ajor </w:t>
            </w:r>
            <w:r w:rsidR="00E11968">
              <w:rPr>
                <w:rFonts w:ascii="Verdana" w:eastAsia="Times New Roman" w:hAnsi="Verdana" w:cs="Calibri"/>
                <w:b/>
                <w:bCs/>
                <w:color w:val="000000"/>
                <w:lang w:eastAsia="en-GB"/>
              </w:rPr>
              <w:t>i</w:t>
            </w:r>
            <w:r w:rsidRPr="00726DA3">
              <w:rPr>
                <w:rFonts w:ascii="Verdana" w:eastAsia="Times New Roman" w:hAnsi="Verdana" w:cs="Calibri"/>
                <w:b/>
                <w:bCs/>
                <w:color w:val="000000"/>
                <w:lang w:eastAsia="en-GB"/>
              </w:rPr>
              <w:t>njuries</w:t>
            </w:r>
          </w:p>
        </w:tc>
        <w:tc>
          <w:tcPr>
            <w:tcW w:w="1442" w:type="dxa"/>
            <w:tcBorders>
              <w:top w:val="single" w:sz="8" w:space="0" w:color="auto"/>
              <w:left w:val="nil"/>
              <w:bottom w:val="single" w:sz="8" w:space="0" w:color="auto"/>
              <w:right w:val="single" w:sz="8" w:space="0" w:color="auto"/>
            </w:tcBorders>
            <w:shd w:val="clear" w:color="000000" w:fill="C6E0B4"/>
            <w:hideMark/>
          </w:tcPr>
          <w:p w14:paraId="2144A665" w14:textId="33618BF0" w:rsidR="00432A8D" w:rsidRPr="00726DA3" w:rsidRDefault="00432A8D" w:rsidP="00432A8D">
            <w:pPr>
              <w:spacing w:after="0" w:line="240" w:lineRule="auto"/>
              <w:rPr>
                <w:rFonts w:ascii="Verdana" w:eastAsia="Times New Roman" w:hAnsi="Verdana" w:cs="Calibri"/>
                <w:b/>
                <w:bCs/>
                <w:color w:val="000000"/>
                <w:lang w:eastAsia="en-GB"/>
              </w:rPr>
            </w:pPr>
            <w:r w:rsidRPr="00726DA3">
              <w:rPr>
                <w:rFonts w:ascii="Verdana" w:eastAsia="Times New Roman" w:hAnsi="Verdana" w:cs="Calibri"/>
                <w:b/>
                <w:bCs/>
                <w:color w:val="000000"/>
                <w:lang w:eastAsia="en-GB"/>
              </w:rPr>
              <w:t>201</w:t>
            </w:r>
            <w:r w:rsidR="00E11BDE">
              <w:rPr>
                <w:rFonts w:ascii="Verdana" w:eastAsia="Times New Roman" w:hAnsi="Verdana" w:cs="Calibri"/>
                <w:b/>
                <w:bCs/>
                <w:color w:val="000000"/>
                <w:lang w:eastAsia="en-GB"/>
              </w:rPr>
              <w:t>9</w:t>
            </w:r>
            <w:r w:rsidRPr="00726DA3">
              <w:rPr>
                <w:rFonts w:ascii="Verdana" w:eastAsia="Times New Roman" w:hAnsi="Verdana" w:cs="Calibri"/>
                <w:b/>
                <w:bCs/>
                <w:color w:val="000000"/>
                <w:lang w:eastAsia="en-GB"/>
              </w:rPr>
              <w:t>-</w:t>
            </w:r>
            <w:r w:rsidR="00E11BDE">
              <w:rPr>
                <w:rFonts w:ascii="Verdana" w:eastAsia="Times New Roman" w:hAnsi="Verdana" w:cs="Calibri"/>
                <w:b/>
                <w:bCs/>
                <w:color w:val="000000"/>
                <w:lang w:eastAsia="en-GB"/>
              </w:rPr>
              <w:t>20</w:t>
            </w:r>
          </w:p>
        </w:tc>
        <w:tc>
          <w:tcPr>
            <w:tcW w:w="1500" w:type="dxa"/>
            <w:tcBorders>
              <w:top w:val="single" w:sz="4" w:space="0" w:color="auto"/>
              <w:left w:val="nil"/>
              <w:bottom w:val="single" w:sz="8" w:space="0" w:color="auto"/>
              <w:right w:val="single" w:sz="8" w:space="0" w:color="auto"/>
            </w:tcBorders>
            <w:shd w:val="clear" w:color="000000" w:fill="C6E0B4"/>
            <w:hideMark/>
          </w:tcPr>
          <w:p w14:paraId="61B03B78" w14:textId="7FCECBA0" w:rsidR="00432A8D" w:rsidRPr="00726DA3" w:rsidRDefault="00432A8D" w:rsidP="00432A8D">
            <w:pPr>
              <w:spacing w:after="0" w:line="240" w:lineRule="auto"/>
              <w:rPr>
                <w:rFonts w:ascii="Verdana" w:eastAsia="Times New Roman" w:hAnsi="Verdana" w:cs="Calibri"/>
                <w:b/>
                <w:bCs/>
                <w:color w:val="000000"/>
                <w:lang w:eastAsia="en-GB"/>
              </w:rPr>
            </w:pPr>
            <w:r w:rsidRPr="00726DA3">
              <w:rPr>
                <w:rFonts w:ascii="Verdana" w:eastAsia="Times New Roman" w:hAnsi="Verdana" w:cs="Calibri"/>
                <w:b/>
                <w:bCs/>
                <w:color w:val="000000"/>
                <w:lang w:eastAsia="en-GB"/>
              </w:rPr>
              <w:t>20</w:t>
            </w:r>
            <w:r w:rsidR="00E11BDE">
              <w:rPr>
                <w:rFonts w:ascii="Verdana" w:eastAsia="Times New Roman" w:hAnsi="Verdana" w:cs="Calibri"/>
                <w:b/>
                <w:bCs/>
                <w:color w:val="000000"/>
                <w:lang w:eastAsia="en-GB"/>
              </w:rPr>
              <w:t>20</w:t>
            </w:r>
            <w:r w:rsidRPr="00726DA3">
              <w:rPr>
                <w:rFonts w:ascii="Verdana" w:eastAsia="Times New Roman" w:hAnsi="Verdana" w:cs="Calibri"/>
                <w:b/>
                <w:bCs/>
                <w:color w:val="000000"/>
                <w:lang w:eastAsia="en-GB"/>
              </w:rPr>
              <w:t>-</w:t>
            </w:r>
            <w:r w:rsidR="008D2C0F">
              <w:rPr>
                <w:rFonts w:ascii="Verdana" w:eastAsia="Times New Roman" w:hAnsi="Verdana" w:cs="Calibri"/>
                <w:b/>
                <w:bCs/>
                <w:color w:val="000000"/>
                <w:lang w:eastAsia="en-GB"/>
              </w:rPr>
              <w:t>2</w:t>
            </w:r>
            <w:r w:rsidR="00E11BDE">
              <w:rPr>
                <w:rFonts w:ascii="Verdana" w:eastAsia="Times New Roman" w:hAnsi="Verdana" w:cs="Calibri"/>
                <w:b/>
                <w:bCs/>
                <w:color w:val="000000"/>
                <w:lang w:eastAsia="en-GB"/>
              </w:rPr>
              <w:t>1</w:t>
            </w:r>
          </w:p>
        </w:tc>
      </w:tr>
      <w:tr w:rsidR="007B1B9A" w:rsidRPr="00B50CFB" w14:paraId="1C724CB8" w14:textId="77777777" w:rsidTr="007B1B9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E7455A1" w14:textId="02666484" w:rsidR="008D2C0F" w:rsidRPr="007B1B9A" w:rsidRDefault="007B1B9A" w:rsidP="008D2C0F">
            <w:pPr>
              <w:spacing w:after="0" w:line="240" w:lineRule="auto"/>
              <w:rPr>
                <w:rFonts w:ascii="Verdana" w:eastAsia="Times New Roman" w:hAnsi="Verdana" w:cs="Calibri"/>
                <w:bCs/>
                <w:color w:val="000000"/>
                <w:lang w:eastAsia="en-GB"/>
              </w:rPr>
            </w:pPr>
            <w:r w:rsidRPr="007B1B9A">
              <w:rPr>
                <w:rFonts w:ascii="Verdana" w:eastAsia="Times New Roman" w:hAnsi="Verdana" w:cs="Calibri"/>
                <w:bCs/>
                <w:color w:val="000000"/>
                <w:lang w:eastAsia="en-GB"/>
              </w:rPr>
              <w:t>Ber</w:t>
            </w:r>
            <w:r>
              <w:rPr>
                <w:rFonts w:ascii="Verdana" w:eastAsia="Times New Roman" w:hAnsi="Verdana" w:cs="Calibri"/>
                <w:bCs/>
                <w:color w:val="000000"/>
                <w:lang w:eastAsia="en-GB"/>
              </w:rPr>
              <w:t>kshire</w:t>
            </w:r>
          </w:p>
        </w:tc>
        <w:tc>
          <w:tcPr>
            <w:tcW w:w="1442" w:type="dxa"/>
            <w:tcBorders>
              <w:top w:val="nil"/>
              <w:left w:val="nil"/>
              <w:bottom w:val="single" w:sz="8" w:space="0" w:color="auto"/>
              <w:right w:val="single" w:sz="8" w:space="0" w:color="auto"/>
            </w:tcBorders>
            <w:shd w:val="clear" w:color="auto" w:fill="auto"/>
          </w:tcPr>
          <w:p w14:paraId="3005F780" w14:textId="77777777" w:rsidR="008D2C0F" w:rsidRPr="007B1B9A" w:rsidRDefault="008D2C0F" w:rsidP="008D2C0F">
            <w:pPr>
              <w:spacing w:after="0" w:line="240" w:lineRule="auto"/>
              <w:jc w:val="right"/>
              <w:rPr>
                <w:rFonts w:ascii="Verdana" w:eastAsia="Times New Roman" w:hAnsi="Verdana" w:cs="Calibri"/>
                <w:bCs/>
                <w:color w:val="000000"/>
                <w:lang w:eastAsia="en-GB"/>
              </w:rPr>
            </w:pPr>
            <w:r w:rsidRPr="007B1B9A">
              <w:rPr>
                <w:rFonts w:ascii="Verdana" w:eastAsia="Times New Roman" w:hAnsi="Verdana" w:cs="Calibri"/>
                <w:bCs/>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6FF4C68F" w14:textId="77777777" w:rsidR="008D2C0F" w:rsidRPr="007B1B9A" w:rsidRDefault="0053504C" w:rsidP="008D2C0F">
            <w:pPr>
              <w:spacing w:after="0" w:line="240" w:lineRule="auto"/>
              <w:jc w:val="right"/>
              <w:rPr>
                <w:rFonts w:ascii="Verdana" w:eastAsia="Times New Roman" w:hAnsi="Verdana" w:cs="Calibri"/>
                <w:bCs/>
                <w:color w:val="000000"/>
                <w:lang w:eastAsia="en-GB"/>
              </w:rPr>
            </w:pPr>
            <w:r w:rsidRPr="007B1B9A">
              <w:rPr>
                <w:rFonts w:ascii="Verdana" w:eastAsia="Times New Roman" w:hAnsi="Verdana" w:cs="Calibri"/>
                <w:bCs/>
                <w:color w:val="000000"/>
                <w:lang w:eastAsia="en-GB"/>
              </w:rPr>
              <w:t>0</w:t>
            </w:r>
          </w:p>
        </w:tc>
      </w:tr>
      <w:tr w:rsidR="007B1B9A" w:rsidRPr="00B50CFB" w14:paraId="4B043DBA" w14:textId="77777777" w:rsidTr="007B1B9A">
        <w:trPr>
          <w:trHeight w:val="320"/>
        </w:trPr>
        <w:tc>
          <w:tcPr>
            <w:tcW w:w="2358" w:type="dxa"/>
            <w:tcBorders>
              <w:top w:val="nil"/>
              <w:left w:val="single" w:sz="8" w:space="0" w:color="auto"/>
              <w:bottom w:val="single" w:sz="8" w:space="0" w:color="auto"/>
              <w:right w:val="single" w:sz="8" w:space="0" w:color="auto"/>
            </w:tcBorders>
            <w:shd w:val="clear" w:color="auto" w:fill="FFFF00"/>
            <w:hideMark/>
          </w:tcPr>
          <w:p w14:paraId="67F5F08E" w14:textId="4CB5BC73" w:rsidR="008D2C0F" w:rsidRPr="007B1B9A" w:rsidRDefault="0053504C" w:rsidP="008D2C0F">
            <w:pPr>
              <w:spacing w:after="0" w:line="240" w:lineRule="auto"/>
              <w:rPr>
                <w:rFonts w:ascii="Verdana" w:eastAsia="Times New Roman" w:hAnsi="Verdana" w:cs="Calibri"/>
                <w:b/>
                <w:bCs/>
                <w:color w:val="000000"/>
                <w:lang w:eastAsia="en-GB"/>
              </w:rPr>
            </w:pPr>
            <w:r w:rsidRPr="007B1B9A">
              <w:rPr>
                <w:rFonts w:ascii="Verdana" w:eastAsia="Times New Roman" w:hAnsi="Verdana" w:cs="Calibri"/>
                <w:b/>
                <w:bCs/>
                <w:color w:val="000000"/>
                <w:lang w:eastAsia="en-GB"/>
              </w:rPr>
              <w:t>B</w:t>
            </w:r>
            <w:r w:rsidR="007B1B9A" w:rsidRPr="007B1B9A">
              <w:rPr>
                <w:rFonts w:ascii="Verdana" w:eastAsia="Times New Roman" w:hAnsi="Verdana" w:cs="Calibri"/>
                <w:b/>
                <w:bCs/>
                <w:color w:val="000000"/>
                <w:lang w:eastAsia="en-GB"/>
              </w:rPr>
              <w:t>uckinghamshire</w:t>
            </w:r>
          </w:p>
        </w:tc>
        <w:tc>
          <w:tcPr>
            <w:tcW w:w="1442" w:type="dxa"/>
            <w:tcBorders>
              <w:top w:val="nil"/>
              <w:left w:val="nil"/>
              <w:bottom w:val="single" w:sz="8" w:space="0" w:color="auto"/>
              <w:right w:val="single" w:sz="8" w:space="0" w:color="auto"/>
            </w:tcBorders>
            <w:shd w:val="clear" w:color="auto" w:fill="FFFF00"/>
          </w:tcPr>
          <w:p w14:paraId="611A5CE3" w14:textId="188FA659" w:rsidR="008D2C0F" w:rsidRPr="007B1B9A" w:rsidRDefault="007B1B9A" w:rsidP="008D2C0F">
            <w:pPr>
              <w:spacing w:after="0" w:line="240" w:lineRule="auto"/>
              <w:jc w:val="right"/>
              <w:rPr>
                <w:rFonts w:ascii="Verdana" w:eastAsia="Times New Roman" w:hAnsi="Verdana" w:cs="Calibri"/>
                <w:b/>
                <w:bCs/>
                <w:color w:val="000000"/>
                <w:lang w:eastAsia="en-GB"/>
              </w:rPr>
            </w:pPr>
            <w:r w:rsidRPr="007B1B9A">
              <w:rPr>
                <w:rFonts w:ascii="Verdana" w:eastAsia="Times New Roman" w:hAnsi="Verdana" w:cs="Calibri"/>
                <w:b/>
                <w:bCs/>
                <w:color w:val="000000"/>
                <w:lang w:eastAsia="en-GB"/>
              </w:rPr>
              <w:t>0</w:t>
            </w:r>
          </w:p>
        </w:tc>
        <w:tc>
          <w:tcPr>
            <w:tcW w:w="1500" w:type="dxa"/>
            <w:tcBorders>
              <w:top w:val="nil"/>
              <w:left w:val="nil"/>
              <w:bottom w:val="single" w:sz="8" w:space="0" w:color="auto"/>
              <w:right w:val="single" w:sz="8" w:space="0" w:color="auto"/>
            </w:tcBorders>
            <w:shd w:val="clear" w:color="auto" w:fill="FFFF00"/>
            <w:noWrap/>
          </w:tcPr>
          <w:p w14:paraId="4B6A607B" w14:textId="77777777" w:rsidR="008D2C0F" w:rsidRPr="007B1B9A" w:rsidRDefault="0053504C" w:rsidP="008D2C0F">
            <w:pPr>
              <w:spacing w:after="0" w:line="240" w:lineRule="auto"/>
              <w:jc w:val="right"/>
              <w:rPr>
                <w:rFonts w:ascii="Verdana" w:eastAsia="Times New Roman" w:hAnsi="Verdana" w:cs="Calibri"/>
                <w:b/>
                <w:bCs/>
                <w:color w:val="000000"/>
                <w:lang w:eastAsia="en-GB"/>
              </w:rPr>
            </w:pPr>
            <w:r w:rsidRPr="007B1B9A">
              <w:rPr>
                <w:rFonts w:ascii="Verdana" w:eastAsia="Times New Roman" w:hAnsi="Verdana" w:cs="Calibri"/>
                <w:b/>
                <w:bCs/>
                <w:color w:val="000000"/>
                <w:lang w:eastAsia="en-GB"/>
              </w:rPr>
              <w:t>0</w:t>
            </w:r>
          </w:p>
        </w:tc>
      </w:tr>
      <w:tr w:rsidR="007B1B9A" w:rsidRPr="00B50CFB" w14:paraId="42956386"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CC0E9C0" w14:textId="7AB689FA" w:rsidR="008D2C0F" w:rsidRPr="00726DA3" w:rsidRDefault="007B1B9A"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Cambridgeshire</w:t>
            </w:r>
          </w:p>
        </w:tc>
        <w:tc>
          <w:tcPr>
            <w:tcW w:w="1442" w:type="dxa"/>
            <w:tcBorders>
              <w:top w:val="nil"/>
              <w:left w:val="nil"/>
              <w:bottom w:val="single" w:sz="8" w:space="0" w:color="auto"/>
              <w:right w:val="single" w:sz="8" w:space="0" w:color="auto"/>
            </w:tcBorders>
            <w:shd w:val="clear" w:color="auto" w:fill="auto"/>
          </w:tcPr>
          <w:p w14:paraId="0FD45B25" w14:textId="77777777" w:rsidR="008D2C0F" w:rsidRPr="00726DA3" w:rsidRDefault="008D2C0F" w:rsidP="008D2C0F">
            <w:pPr>
              <w:spacing w:after="0" w:line="240" w:lineRule="auto"/>
              <w:jc w:val="right"/>
              <w:rPr>
                <w:rFonts w:ascii="Verdana" w:eastAsia="Times New Roman" w:hAnsi="Verdana" w:cs="Calibri"/>
                <w:color w:val="000000"/>
                <w:lang w:eastAsia="en-GB"/>
              </w:rPr>
            </w:pPr>
            <w:r w:rsidRPr="00726DA3">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60B95F99" w14:textId="77777777" w:rsidR="008D2C0F" w:rsidRPr="00726DA3" w:rsidRDefault="0053504C"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r>
      <w:tr w:rsidR="007B1B9A" w:rsidRPr="00B50CFB" w14:paraId="5D21597B"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817D794" w14:textId="7663DE2C" w:rsidR="008D2C0F" w:rsidRPr="00726DA3" w:rsidRDefault="007B1B9A"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Oxfordshire</w:t>
            </w:r>
          </w:p>
        </w:tc>
        <w:tc>
          <w:tcPr>
            <w:tcW w:w="1442" w:type="dxa"/>
            <w:tcBorders>
              <w:top w:val="nil"/>
              <w:left w:val="nil"/>
              <w:bottom w:val="single" w:sz="8" w:space="0" w:color="auto"/>
              <w:right w:val="single" w:sz="8" w:space="0" w:color="auto"/>
            </w:tcBorders>
            <w:shd w:val="clear" w:color="auto" w:fill="auto"/>
          </w:tcPr>
          <w:p w14:paraId="45B6490B" w14:textId="77777777" w:rsidR="008D2C0F" w:rsidRPr="00726DA3" w:rsidRDefault="008D2C0F" w:rsidP="008D2C0F">
            <w:pPr>
              <w:spacing w:after="0" w:line="240" w:lineRule="auto"/>
              <w:jc w:val="right"/>
              <w:rPr>
                <w:rFonts w:ascii="Verdana" w:eastAsia="Times New Roman" w:hAnsi="Verdana" w:cs="Calibri"/>
                <w:color w:val="000000"/>
                <w:lang w:eastAsia="en-GB"/>
              </w:rPr>
            </w:pPr>
            <w:r w:rsidRPr="00726DA3">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7D1D03A2" w14:textId="77777777" w:rsidR="008D2C0F" w:rsidRPr="00726DA3" w:rsidRDefault="0053504C"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r>
      <w:tr w:rsidR="007B1B9A" w:rsidRPr="00B50CFB" w14:paraId="206F0907"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372B8CB" w14:textId="47DAC265" w:rsidR="008D2C0F" w:rsidRPr="00726DA3" w:rsidRDefault="007B1B9A"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Suffolk</w:t>
            </w:r>
          </w:p>
        </w:tc>
        <w:tc>
          <w:tcPr>
            <w:tcW w:w="1442" w:type="dxa"/>
            <w:tcBorders>
              <w:top w:val="nil"/>
              <w:left w:val="nil"/>
              <w:bottom w:val="single" w:sz="8" w:space="0" w:color="auto"/>
              <w:right w:val="single" w:sz="8" w:space="0" w:color="auto"/>
            </w:tcBorders>
            <w:shd w:val="clear" w:color="auto" w:fill="auto"/>
          </w:tcPr>
          <w:p w14:paraId="43284047" w14:textId="77777777" w:rsidR="008D2C0F" w:rsidRPr="00726DA3" w:rsidRDefault="008D2C0F" w:rsidP="008D2C0F">
            <w:pPr>
              <w:spacing w:after="0" w:line="240" w:lineRule="auto"/>
              <w:jc w:val="right"/>
              <w:rPr>
                <w:rFonts w:ascii="Verdana" w:eastAsia="Times New Roman" w:hAnsi="Verdana" w:cs="Calibri"/>
                <w:color w:val="000000"/>
                <w:lang w:eastAsia="en-GB"/>
              </w:rPr>
            </w:pPr>
            <w:r w:rsidRPr="00726DA3">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7A36B948" w14:textId="77777777" w:rsidR="008D2C0F" w:rsidRPr="00726DA3" w:rsidRDefault="0053504C"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r>
      <w:tr w:rsidR="007B1B9A" w:rsidRPr="00B50CFB" w14:paraId="543D5368"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EBA0D69" w14:textId="50046141" w:rsidR="008D2C0F" w:rsidRPr="00726DA3" w:rsidRDefault="007B1B9A"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Warwickshire</w:t>
            </w:r>
          </w:p>
        </w:tc>
        <w:tc>
          <w:tcPr>
            <w:tcW w:w="1442" w:type="dxa"/>
            <w:tcBorders>
              <w:top w:val="nil"/>
              <w:left w:val="nil"/>
              <w:bottom w:val="single" w:sz="8" w:space="0" w:color="auto"/>
              <w:right w:val="single" w:sz="8" w:space="0" w:color="auto"/>
            </w:tcBorders>
            <w:shd w:val="clear" w:color="auto" w:fill="auto"/>
          </w:tcPr>
          <w:p w14:paraId="22A15402" w14:textId="6B8B09D0"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2220828E" w14:textId="77777777" w:rsidR="008D2C0F" w:rsidRPr="00726DA3" w:rsidRDefault="0053504C"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r>
      <w:tr w:rsidR="007B1B9A" w:rsidRPr="00B50CFB" w14:paraId="2D1AC934"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4FB5A41B" w14:textId="77777777" w:rsidR="008D2C0F" w:rsidRPr="00726DA3" w:rsidRDefault="0053504C"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West Sussex</w:t>
            </w:r>
          </w:p>
        </w:tc>
        <w:tc>
          <w:tcPr>
            <w:tcW w:w="1442" w:type="dxa"/>
            <w:tcBorders>
              <w:top w:val="nil"/>
              <w:left w:val="nil"/>
              <w:bottom w:val="single" w:sz="8" w:space="0" w:color="auto"/>
              <w:right w:val="single" w:sz="8" w:space="0" w:color="auto"/>
            </w:tcBorders>
            <w:shd w:val="clear" w:color="auto" w:fill="auto"/>
          </w:tcPr>
          <w:p w14:paraId="06658C29" w14:textId="3BDE2B66"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00BEA70A" w14:textId="77777777" w:rsidR="008D2C0F" w:rsidRPr="00726DA3" w:rsidRDefault="0053504C"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r>
      <w:tr w:rsidR="007B1B9A" w:rsidRPr="00B50CFB" w14:paraId="1A101DC3"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7A5ADEC" w14:textId="4EAB7442" w:rsidR="008D2C0F" w:rsidRPr="00726DA3" w:rsidRDefault="007B1B9A"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Bedfordshire</w:t>
            </w:r>
          </w:p>
        </w:tc>
        <w:tc>
          <w:tcPr>
            <w:tcW w:w="1442" w:type="dxa"/>
            <w:tcBorders>
              <w:top w:val="nil"/>
              <w:left w:val="nil"/>
              <w:bottom w:val="single" w:sz="8" w:space="0" w:color="auto"/>
              <w:right w:val="single" w:sz="8" w:space="0" w:color="auto"/>
            </w:tcBorders>
            <w:shd w:val="clear" w:color="auto" w:fill="auto"/>
          </w:tcPr>
          <w:p w14:paraId="2A0E40DE" w14:textId="52A58F93"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p>
        </w:tc>
        <w:tc>
          <w:tcPr>
            <w:tcW w:w="1500" w:type="dxa"/>
            <w:tcBorders>
              <w:top w:val="nil"/>
              <w:left w:val="nil"/>
              <w:bottom w:val="single" w:sz="8" w:space="0" w:color="auto"/>
              <w:right w:val="single" w:sz="8" w:space="0" w:color="auto"/>
            </w:tcBorders>
            <w:shd w:val="clear" w:color="auto" w:fill="auto"/>
            <w:noWrap/>
          </w:tcPr>
          <w:p w14:paraId="7FDB45C2" w14:textId="3A906023"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p>
        </w:tc>
      </w:tr>
      <w:tr w:rsidR="007B1B9A" w:rsidRPr="00B50CFB" w14:paraId="76FFBB57"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7528619" w14:textId="7200D511" w:rsidR="008D2C0F" w:rsidRPr="00726DA3" w:rsidRDefault="007B1B9A"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East Sussex</w:t>
            </w:r>
          </w:p>
        </w:tc>
        <w:tc>
          <w:tcPr>
            <w:tcW w:w="1442" w:type="dxa"/>
            <w:tcBorders>
              <w:top w:val="nil"/>
              <w:left w:val="nil"/>
              <w:bottom w:val="single" w:sz="8" w:space="0" w:color="auto"/>
              <w:right w:val="single" w:sz="8" w:space="0" w:color="auto"/>
            </w:tcBorders>
            <w:shd w:val="clear" w:color="auto" w:fill="auto"/>
          </w:tcPr>
          <w:p w14:paraId="33EF5921" w14:textId="62A8B94C"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003B1E22" w14:textId="1F079DE7"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p>
        </w:tc>
      </w:tr>
      <w:tr w:rsidR="007B1B9A" w:rsidRPr="00B50CFB" w14:paraId="1901758A" w14:textId="77777777" w:rsidTr="00726DA3">
        <w:trPr>
          <w:trHeight w:val="315"/>
        </w:trPr>
        <w:tc>
          <w:tcPr>
            <w:tcW w:w="2358" w:type="dxa"/>
            <w:tcBorders>
              <w:top w:val="nil"/>
              <w:left w:val="single" w:sz="8" w:space="0" w:color="auto"/>
              <w:bottom w:val="single" w:sz="8" w:space="0" w:color="auto"/>
              <w:right w:val="single" w:sz="8" w:space="0" w:color="auto"/>
            </w:tcBorders>
            <w:shd w:val="clear" w:color="auto" w:fill="FFFFFF" w:themeFill="background1"/>
            <w:hideMark/>
          </w:tcPr>
          <w:p w14:paraId="4BC2F344" w14:textId="4C678A91" w:rsidR="008D2C0F" w:rsidRPr="00726DA3" w:rsidRDefault="007B1B9A" w:rsidP="008D2C0F">
            <w:pPr>
              <w:spacing w:after="0" w:line="240" w:lineRule="auto"/>
              <w:rPr>
                <w:rFonts w:ascii="Verdana" w:eastAsia="Times New Roman" w:hAnsi="Verdana" w:cs="Calibri"/>
                <w:bCs/>
                <w:color w:val="000000"/>
                <w:lang w:eastAsia="en-GB"/>
              </w:rPr>
            </w:pPr>
            <w:r>
              <w:rPr>
                <w:rFonts w:ascii="Verdana" w:eastAsia="Times New Roman" w:hAnsi="Verdana" w:cs="Calibri"/>
                <w:bCs/>
                <w:color w:val="000000"/>
                <w:lang w:eastAsia="en-GB"/>
              </w:rPr>
              <w:t>Hereford and Worcester</w:t>
            </w:r>
          </w:p>
        </w:tc>
        <w:tc>
          <w:tcPr>
            <w:tcW w:w="1442" w:type="dxa"/>
            <w:tcBorders>
              <w:top w:val="nil"/>
              <w:left w:val="nil"/>
              <w:bottom w:val="single" w:sz="8" w:space="0" w:color="auto"/>
              <w:right w:val="single" w:sz="8" w:space="0" w:color="auto"/>
            </w:tcBorders>
            <w:shd w:val="clear" w:color="auto" w:fill="FFFFFF" w:themeFill="background1"/>
          </w:tcPr>
          <w:p w14:paraId="10FB46E8" w14:textId="49881C2A" w:rsidR="008D2C0F" w:rsidRPr="00726DA3" w:rsidRDefault="007B1B9A" w:rsidP="008D2C0F">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2</w:t>
            </w:r>
          </w:p>
        </w:tc>
        <w:tc>
          <w:tcPr>
            <w:tcW w:w="1500" w:type="dxa"/>
            <w:tcBorders>
              <w:top w:val="nil"/>
              <w:left w:val="nil"/>
              <w:bottom w:val="single" w:sz="8" w:space="0" w:color="auto"/>
              <w:right w:val="single" w:sz="8" w:space="0" w:color="auto"/>
            </w:tcBorders>
            <w:shd w:val="clear" w:color="auto" w:fill="FFFFFF" w:themeFill="background1"/>
            <w:noWrap/>
          </w:tcPr>
          <w:p w14:paraId="12DBE589" w14:textId="7E990351" w:rsidR="008D2C0F" w:rsidRPr="00726DA3" w:rsidRDefault="0053504C" w:rsidP="008D2C0F">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1</w:t>
            </w:r>
          </w:p>
        </w:tc>
      </w:tr>
      <w:tr w:rsidR="007B1B9A" w:rsidRPr="00B50CFB" w14:paraId="625358E3"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806EE85" w14:textId="016F19DC" w:rsidR="008D2C0F" w:rsidRPr="00726DA3" w:rsidRDefault="007B1B9A"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Norfolk</w:t>
            </w:r>
          </w:p>
        </w:tc>
        <w:tc>
          <w:tcPr>
            <w:tcW w:w="1442" w:type="dxa"/>
            <w:tcBorders>
              <w:top w:val="nil"/>
              <w:left w:val="nil"/>
              <w:bottom w:val="single" w:sz="8" w:space="0" w:color="auto"/>
              <w:right w:val="single" w:sz="8" w:space="0" w:color="auto"/>
            </w:tcBorders>
            <w:shd w:val="clear" w:color="auto" w:fill="auto"/>
          </w:tcPr>
          <w:p w14:paraId="6CF957C7" w14:textId="0A750136"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0</w:t>
            </w:r>
          </w:p>
        </w:tc>
        <w:tc>
          <w:tcPr>
            <w:tcW w:w="1500" w:type="dxa"/>
            <w:tcBorders>
              <w:top w:val="nil"/>
              <w:left w:val="nil"/>
              <w:bottom w:val="single" w:sz="8" w:space="0" w:color="auto"/>
              <w:right w:val="single" w:sz="8" w:space="0" w:color="auto"/>
            </w:tcBorders>
            <w:shd w:val="clear" w:color="auto" w:fill="auto"/>
            <w:noWrap/>
          </w:tcPr>
          <w:p w14:paraId="34A969FA" w14:textId="0D690A61"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p>
        </w:tc>
      </w:tr>
      <w:tr w:rsidR="007B1B9A" w:rsidRPr="00B50CFB" w14:paraId="6B2B4EF9" w14:textId="77777777" w:rsidTr="00E635C4">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3285D7BB" w14:textId="77777777" w:rsidR="008D2C0F" w:rsidRPr="00726DA3" w:rsidRDefault="0053504C" w:rsidP="008D2C0F">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Northamptonshire</w:t>
            </w:r>
          </w:p>
        </w:tc>
        <w:tc>
          <w:tcPr>
            <w:tcW w:w="1442" w:type="dxa"/>
            <w:tcBorders>
              <w:top w:val="nil"/>
              <w:left w:val="nil"/>
              <w:bottom w:val="single" w:sz="8" w:space="0" w:color="auto"/>
              <w:right w:val="single" w:sz="8" w:space="0" w:color="auto"/>
            </w:tcBorders>
            <w:shd w:val="clear" w:color="auto" w:fill="auto"/>
          </w:tcPr>
          <w:p w14:paraId="53B1DD8D" w14:textId="5CEC72E1"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w:t>
            </w:r>
          </w:p>
        </w:tc>
        <w:tc>
          <w:tcPr>
            <w:tcW w:w="1500" w:type="dxa"/>
            <w:tcBorders>
              <w:top w:val="nil"/>
              <w:left w:val="nil"/>
              <w:bottom w:val="single" w:sz="8" w:space="0" w:color="auto"/>
              <w:right w:val="single" w:sz="8" w:space="0" w:color="auto"/>
            </w:tcBorders>
            <w:shd w:val="clear" w:color="auto" w:fill="auto"/>
            <w:noWrap/>
          </w:tcPr>
          <w:p w14:paraId="698D4209" w14:textId="79744226" w:rsidR="008D2C0F" w:rsidRPr="00726DA3" w:rsidRDefault="007B1B9A" w:rsidP="008D2C0F">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p>
        </w:tc>
      </w:tr>
    </w:tbl>
    <w:p w14:paraId="670186AF" w14:textId="6A0AD113" w:rsidR="00A9276F" w:rsidRDefault="00A9276F" w:rsidP="00B80FBD">
      <w:pPr>
        <w:rPr>
          <w:rFonts w:ascii="Verdana" w:eastAsia="Times New Roman" w:hAnsi="Verdana" w:cs="Times New Roman"/>
          <w:highlight w:val="yellow"/>
          <w:lang w:eastAsia="en-GB"/>
        </w:rPr>
      </w:pPr>
    </w:p>
    <w:p w14:paraId="3C03B971" w14:textId="1A8CAA5C" w:rsidR="00A9276F" w:rsidRDefault="00A9276F" w:rsidP="00B80FBD">
      <w:pPr>
        <w:rPr>
          <w:rFonts w:ascii="Verdana" w:eastAsia="Times New Roman" w:hAnsi="Verdana" w:cs="Times New Roman"/>
          <w:highlight w:val="yellow"/>
          <w:lang w:eastAsia="en-GB"/>
        </w:rPr>
      </w:pPr>
    </w:p>
    <w:p w14:paraId="6C8A921D" w14:textId="77777777" w:rsidR="008D6DEA" w:rsidRPr="00B50CFB" w:rsidRDefault="008D6DEA" w:rsidP="00B80FBD">
      <w:pPr>
        <w:rPr>
          <w:rFonts w:ascii="Verdana" w:eastAsia="Times New Roman" w:hAnsi="Verdana" w:cs="Times New Roman"/>
          <w:highlight w:val="yellow"/>
          <w:lang w:eastAsia="en-GB"/>
        </w:rPr>
      </w:pPr>
    </w:p>
    <w:tbl>
      <w:tblPr>
        <w:tblpPr w:leftFromText="180" w:rightFromText="180" w:vertAnchor="text" w:horzAnchor="margin" w:tblpY="57"/>
        <w:tblW w:w="5300" w:type="dxa"/>
        <w:tblLook w:val="04A0" w:firstRow="1" w:lastRow="0" w:firstColumn="1" w:lastColumn="0" w:noHBand="0" w:noVBand="1"/>
      </w:tblPr>
      <w:tblGrid>
        <w:gridCol w:w="2358"/>
        <w:gridCol w:w="1442"/>
        <w:gridCol w:w="1500"/>
      </w:tblGrid>
      <w:tr w:rsidR="0008233E" w:rsidRPr="00B50CFB" w14:paraId="57EA7415" w14:textId="77777777" w:rsidTr="002E3E07">
        <w:trPr>
          <w:trHeight w:val="406"/>
        </w:trPr>
        <w:tc>
          <w:tcPr>
            <w:tcW w:w="2358" w:type="dxa"/>
            <w:tcBorders>
              <w:top w:val="single" w:sz="8" w:space="0" w:color="auto"/>
              <w:left w:val="single" w:sz="8" w:space="0" w:color="auto"/>
              <w:bottom w:val="single" w:sz="8" w:space="0" w:color="auto"/>
              <w:right w:val="single" w:sz="8" w:space="0" w:color="auto"/>
            </w:tcBorders>
            <w:shd w:val="clear" w:color="000000" w:fill="C6E0B4"/>
            <w:hideMark/>
          </w:tcPr>
          <w:p w14:paraId="433F9A97" w14:textId="77777777" w:rsidR="00BD6A0F" w:rsidRPr="00F537DB" w:rsidRDefault="00BD6A0F" w:rsidP="00BD6A0F">
            <w:pPr>
              <w:spacing w:after="0" w:line="240" w:lineRule="auto"/>
              <w:rPr>
                <w:rFonts w:ascii="Verdana" w:eastAsia="Times New Roman" w:hAnsi="Verdana" w:cs="Calibri"/>
                <w:b/>
                <w:bCs/>
                <w:color w:val="000000"/>
                <w:lang w:eastAsia="en-GB"/>
              </w:rPr>
            </w:pPr>
            <w:r w:rsidRPr="00F537DB">
              <w:rPr>
                <w:rFonts w:ascii="Verdana" w:eastAsia="Times New Roman" w:hAnsi="Verdana" w:cs="Calibri"/>
                <w:b/>
                <w:bCs/>
                <w:color w:val="000000"/>
                <w:lang w:eastAsia="en-GB"/>
              </w:rPr>
              <w:lastRenderedPageBreak/>
              <w:t xml:space="preserve">Total </w:t>
            </w:r>
            <w:r w:rsidR="00E11968">
              <w:rPr>
                <w:rFonts w:ascii="Verdana" w:eastAsia="Times New Roman" w:hAnsi="Verdana" w:cs="Calibri"/>
                <w:b/>
                <w:bCs/>
                <w:color w:val="000000"/>
                <w:lang w:eastAsia="en-GB"/>
              </w:rPr>
              <w:t>n</w:t>
            </w:r>
            <w:r w:rsidRPr="00F537DB">
              <w:rPr>
                <w:rFonts w:ascii="Verdana" w:eastAsia="Times New Roman" w:hAnsi="Verdana" w:cs="Calibri"/>
                <w:b/>
                <w:bCs/>
                <w:color w:val="000000"/>
                <w:lang w:eastAsia="en-GB"/>
              </w:rPr>
              <w:t xml:space="preserve">umber of </w:t>
            </w:r>
            <w:r w:rsidR="00E11968">
              <w:rPr>
                <w:rFonts w:ascii="Verdana" w:eastAsia="Times New Roman" w:hAnsi="Verdana" w:cs="Calibri"/>
                <w:b/>
                <w:bCs/>
                <w:color w:val="000000"/>
                <w:lang w:eastAsia="en-GB"/>
              </w:rPr>
              <w:t>i</w:t>
            </w:r>
            <w:r w:rsidRPr="00F537DB">
              <w:rPr>
                <w:rFonts w:ascii="Verdana" w:eastAsia="Times New Roman" w:hAnsi="Verdana" w:cs="Calibri"/>
                <w:b/>
                <w:bCs/>
                <w:color w:val="000000"/>
                <w:lang w:eastAsia="en-GB"/>
              </w:rPr>
              <w:t xml:space="preserve">njuries during </w:t>
            </w:r>
            <w:r w:rsidR="00E11968">
              <w:rPr>
                <w:rFonts w:ascii="Verdana" w:eastAsia="Times New Roman" w:hAnsi="Verdana" w:cs="Calibri"/>
                <w:b/>
                <w:bCs/>
                <w:color w:val="000000"/>
                <w:lang w:eastAsia="en-GB"/>
              </w:rPr>
              <w:t>t</w:t>
            </w:r>
            <w:r w:rsidRPr="00F537DB">
              <w:rPr>
                <w:rFonts w:ascii="Verdana" w:eastAsia="Times New Roman" w:hAnsi="Verdana" w:cs="Calibri"/>
                <w:b/>
                <w:bCs/>
                <w:color w:val="000000"/>
                <w:lang w:eastAsia="en-GB"/>
              </w:rPr>
              <w:t>raining</w:t>
            </w:r>
          </w:p>
        </w:tc>
        <w:tc>
          <w:tcPr>
            <w:tcW w:w="1442" w:type="dxa"/>
            <w:tcBorders>
              <w:top w:val="single" w:sz="8" w:space="0" w:color="auto"/>
              <w:left w:val="nil"/>
              <w:bottom w:val="single" w:sz="8" w:space="0" w:color="auto"/>
              <w:right w:val="single" w:sz="8" w:space="0" w:color="auto"/>
            </w:tcBorders>
            <w:shd w:val="clear" w:color="000000" w:fill="C6E0B4"/>
            <w:hideMark/>
          </w:tcPr>
          <w:p w14:paraId="7A1A589C" w14:textId="31F14C41" w:rsidR="00BD6A0F" w:rsidRPr="00F537DB" w:rsidRDefault="00BD6A0F" w:rsidP="00BD6A0F">
            <w:pPr>
              <w:spacing w:after="0" w:line="240" w:lineRule="auto"/>
              <w:rPr>
                <w:rFonts w:ascii="Verdana" w:eastAsia="Times New Roman" w:hAnsi="Verdana" w:cs="Calibri"/>
                <w:b/>
                <w:bCs/>
                <w:color w:val="000000"/>
                <w:lang w:eastAsia="en-GB"/>
              </w:rPr>
            </w:pPr>
            <w:r w:rsidRPr="00F537DB">
              <w:rPr>
                <w:rFonts w:ascii="Verdana" w:eastAsia="Times New Roman" w:hAnsi="Verdana" w:cs="Calibri"/>
                <w:b/>
                <w:bCs/>
                <w:color w:val="000000"/>
                <w:lang w:eastAsia="en-GB"/>
              </w:rPr>
              <w:t>201</w:t>
            </w:r>
            <w:r w:rsidR="00E11BDE">
              <w:rPr>
                <w:rFonts w:ascii="Verdana" w:eastAsia="Times New Roman" w:hAnsi="Verdana" w:cs="Calibri"/>
                <w:b/>
                <w:bCs/>
                <w:color w:val="000000"/>
                <w:lang w:eastAsia="en-GB"/>
              </w:rPr>
              <w:t>9</w:t>
            </w:r>
            <w:r w:rsidRPr="00F537DB">
              <w:rPr>
                <w:rFonts w:ascii="Verdana" w:eastAsia="Times New Roman" w:hAnsi="Verdana" w:cs="Calibri"/>
                <w:b/>
                <w:bCs/>
                <w:color w:val="000000"/>
                <w:lang w:eastAsia="en-GB"/>
              </w:rPr>
              <w:t>-</w:t>
            </w:r>
            <w:r w:rsidR="00E11BDE">
              <w:rPr>
                <w:rFonts w:ascii="Verdana" w:eastAsia="Times New Roman" w:hAnsi="Verdana" w:cs="Calibri"/>
                <w:b/>
                <w:bCs/>
                <w:color w:val="000000"/>
                <w:lang w:eastAsia="en-GB"/>
              </w:rPr>
              <w:t>20</w:t>
            </w:r>
          </w:p>
        </w:tc>
        <w:tc>
          <w:tcPr>
            <w:tcW w:w="1500" w:type="dxa"/>
            <w:tcBorders>
              <w:top w:val="single" w:sz="4" w:space="0" w:color="auto"/>
              <w:left w:val="nil"/>
              <w:bottom w:val="single" w:sz="8" w:space="0" w:color="auto"/>
              <w:right w:val="single" w:sz="8" w:space="0" w:color="auto"/>
            </w:tcBorders>
            <w:shd w:val="clear" w:color="000000" w:fill="C6E0B4"/>
            <w:hideMark/>
          </w:tcPr>
          <w:p w14:paraId="5FC65CFE" w14:textId="437796FA" w:rsidR="00BD6A0F" w:rsidRPr="00F537DB" w:rsidRDefault="00BD6A0F" w:rsidP="00BD6A0F">
            <w:pPr>
              <w:spacing w:after="0" w:line="240" w:lineRule="auto"/>
              <w:rPr>
                <w:rFonts w:ascii="Verdana" w:eastAsia="Times New Roman" w:hAnsi="Verdana" w:cs="Calibri"/>
                <w:b/>
                <w:bCs/>
                <w:color w:val="000000"/>
                <w:lang w:eastAsia="en-GB"/>
              </w:rPr>
            </w:pPr>
            <w:r w:rsidRPr="00F537DB">
              <w:rPr>
                <w:rFonts w:ascii="Verdana" w:eastAsia="Times New Roman" w:hAnsi="Verdana" w:cs="Calibri"/>
                <w:b/>
                <w:bCs/>
                <w:color w:val="000000"/>
                <w:lang w:eastAsia="en-GB"/>
              </w:rPr>
              <w:t>20</w:t>
            </w:r>
            <w:r w:rsidR="00E11BDE">
              <w:rPr>
                <w:rFonts w:ascii="Verdana" w:eastAsia="Times New Roman" w:hAnsi="Verdana" w:cs="Calibri"/>
                <w:b/>
                <w:bCs/>
                <w:color w:val="000000"/>
                <w:lang w:eastAsia="en-GB"/>
              </w:rPr>
              <w:t>20</w:t>
            </w:r>
            <w:r w:rsidRPr="00F537DB">
              <w:rPr>
                <w:rFonts w:ascii="Verdana" w:eastAsia="Times New Roman" w:hAnsi="Verdana" w:cs="Calibri"/>
                <w:b/>
                <w:bCs/>
                <w:color w:val="000000"/>
                <w:lang w:eastAsia="en-GB"/>
              </w:rPr>
              <w:t>-</w:t>
            </w:r>
            <w:r w:rsidR="00E172D9">
              <w:rPr>
                <w:rFonts w:ascii="Verdana" w:eastAsia="Times New Roman" w:hAnsi="Verdana" w:cs="Calibri"/>
                <w:b/>
                <w:bCs/>
                <w:color w:val="000000"/>
                <w:lang w:eastAsia="en-GB"/>
              </w:rPr>
              <w:t>2</w:t>
            </w:r>
            <w:r w:rsidR="00E11BDE">
              <w:rPr>
                <w:rFonts w:ascii="Verdana" w:eastAsia="Times New Roman" w:hAnsi="Verdana" w:cs="Calibri"/>
                <w:b/>
                <w:bCs/>
                <w:color w:val="000000"/>
                <w:lang w:eastAsia="en-GB"/>
              </w:rPr>
              <w:t>1</w:t>
            </w:r>
          </w:p>
        </w:tc>
      </w:tr>
      <w:tr w:rsidR="008B7078" w:rsidRPr="00B50CFB" w14:paraId="14BACAFA"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874347A" w14:textId="3B4FA44B" w:rsidR="002E3E07" w:rsidRPr="00F537DB" w:rsidRDefault="0058073C"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West Sussex</w:t>
            </w:r>
          </w:p>
        </w:tc>
        <w:tc>
          <w:tcPr>
            <w:tcW w:w="1442" w:type="dxa"/>
            <w:tcBorders>
              <w:top w:val="nil"/>
              <w:left w:val="nil"/>
              <w:bottom w:val="single" w:sz="8" w:space="0" w:color="auto"/>
              <w:right w:val="single" w:sz="8" w:space="0" w:color="auto"/>
            </w:tcBorders>
            <w:shd w:val="clear" w:color="auto" w:fill="auto"/>
          </w:tcPr>
          <w:p w14:paraId="7D0E06E8" w14:textId="0F2B2F5C" w:rsidR="002E3E07" w:rsidRPr="00F537DB" w:rsidRDefault="0058073C"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12</w:t>
            </w:r>
          </w:p>
        </w:tc>
        <w:tc>
          <w:tcPr>
            <w:tcW w:w="1500" w:type="dxa"/>
            <w:tcBorders>
              <w:top w:val="nil"/>
              <w:left w:val="nil"/>
              <w:bottom w:val="single" w:sz="8" w:space="0" w:color="auto"/>
              <w:right w:val="single" w:sz="8" w:space="0" w:color="auto"/>
            </w:tcBorders>
            <w:shd w:val="clear" w:color="auto" w:fill="auto"/>
            <w:noWrap/>
          </w:tcPr>
          <w:p w14:paraId="1E2BE347" w14:textId="1E77AE4F" w:rsidR="002E3E07" w:rsidRPr="00F537DB" w:rsidRDefault="0058073C"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w:t>
            </w:r>
          </w:p>
        </w:tc>
      </w:tr>
      <w:tr w:rsidR="008B7078" w:rsidRPr="00B50CFB" w14:paraId="754F73CB"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D09846D" w14:textId="170ABF98" w:rsidR="002E3E07" w:rsidRPr="00F537DB" w:rsidRDefault="00CA39B9"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w:t>
            </w:r>
            <w:r w:rsidR="0058073C">
              <w:rPr>
                <w:rFonts w:ascii="Verdana" w:eastAsia="Times New Roman" w:hAnsi="Verdana" w:cs="Calibri"/>
                <w:color w:val="000000"/>
                <w:lang w:eastAsia="en-GB"/>
              </w:rPr>
              <w:t>arwickshire</w:t>
            </w:r>
          </w:p>
        </w:tc>
        <w:tc>
          <w:tcPr>
            <w:tcW w:w="1442" w:type="dxa"/>
            <w:tcBorders>
              <w:top w:val="nil"/>
              <w:left w:val="nil"/>
              <w:bottom w:val="single" w:sz="8" w:space="0" w:color="auto"/>
              <w:right w:val="single" w:sz="8" w:space="0" w:color="auto"/>
            </w:tcBorders>
            <w:shd w:val="clear" w:color="auto" w:fill="auto"/>
          </w:tcPr>
          <w:p w14:paraId="512A3EDC" w14:textId="3A79AF13" w:rsidR="002E3E07" w:rsidRPr="00F537DB" w:rsidRDefault="0058073C"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14</w:t>
            </w:r>
          </w:p>
        </w:tc>
        <w:tc>
          <w:tcPr>
            <w:tcW w:w="1500" w:type="dxa"/>
            <w:tcBorders>
              <w:top w:val="nil"/>
              <w:left w:val="nil"/>
              <w:bottom w:val="single" w:sz="8" w:space="0" w:color="auto"/>
              <w:right w:val="single" w:sz="8" w:space="0" w:color="auto"/>
            </w:tcBorders>
            <w:shd w:val="clear" w:color="auto" w:fill="auto"/>
            <w:noWrap/>
          </w:tcPr>
          <w:p w14:paraId="5CBA6206" w14:textId="730EF2AA" w:rsidR="002E3E07" w:rsidRPr="00F537DB" w:rsidRDefault="0058073C"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r>
      <w:tr w:rsidR="008B7078" w:rsidRPr="00B50CFB" w14:paraId="53230AA5"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41A1701" w14:textId="1632B2A8" w:rsidR="002E3E07" w:rsidRPr="00F537DB" w:rsidRDefault="0058073C"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East Sussex</w:t>
            </w:r>
          </w:p>
        </w:tc>
        <w:tc>
          <w:tcPr>
            <w:tcW w:w="1442" w:type="dxa"/>
            <w:tcBorders>
              <w:top w:val="nil"/>
              <w:left w:val="nil"/>
              <w:bottom w:val="single" w:sz="8" w:space="0" w:color="auto"/>
              <w:right w:val="single" w:sz="8" w:space="0" w:color="auto"/>
            </w:tcBorders>
            <w:shd w:val="clear" w:color="auto" w:fill="auto"/>
          </w:tcPr>
          <w:p w14:paraId="77F13656" w14:textId="77777777" w:rsidR="002E3E07" w:rsidRPr="00F537DB" w:rsidRDefault="002E3E07" w:rsidP="002E3E07">
            <w:pPr>
              <w:spacing w:after="0" w:line="240" w:lineRule="auto"/>
              <w:jc w:val="right"/>
              <w:rPr>
                <w:rFonts w:ascii="Verdana" w:eastAsia="Times New Roman" w:hAnsi="Verdana" w:cs="Calibri"/>
                <w:color w:val="000000"/>
                <w:lang w:eastAsia="en-GB"/>
              </w:rPr>
            </w:pPr>
            <w:r w:rsidRPr="00F537DB">
              <w:rPr>
                <w:rFonts w:ascii="Verdana" w:eastAsia="Times New Roman" w:hAnsi="Verdana" w:cs="Calibri"/>
                <w:color w:val="000000"/>
                <w:lang w:eastAsia="en-GB"/>
              </w:rPr>
              <w:t>1</w:t>
            </w:r>
            <w:r w:rsidR="00CA39B9">
              <w:rPr>
                <w:rFonts w:ascii="Verdana" w:eastAsia="Times New Roman" w:hAnsi="Verdana" w:cs="Calibri"/>
                <w:color w:val="000000"/>
                <w:lang w:eastAsia="en-GB"/>
              </w:rPr>
              <w:t>9</w:t>
            </w:r>
          </w:p>
        </w:tc>
        <w:tc>
          <w:tcPr>
            <w:tcW w:w="1500" w:type="dxa"/>
            <w:tcBorders>
              <w:top w:val="nil"/>
              <w:left w:val="nil"/>
              <w:bottom w:val="single" w:sz="8" w:space="0" w:color="auto"/>
              <w:right w:val="single" w:sz="8" w:space="0" w:color="auto"/>
            </w:tcBorders>
            <w:shd w:val="clear" w:color="auto" w:fill="auto"/>
            <w:noWrap/>
          </w:tcPr>
          <w:p w14:paraId="7BBE6B30" w14:textId="3EB8FA1B" w:rsidR="002E3E07" w:rsidRPr="00F537DB" w:rsidRDefault="0058073C"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9</w:t>
            </w:r>
          </w:p>
        </w:tc>
      </w:tr>
      <w:tr w:rsidR="008B7078" w:rsidRPr="00B50CFB" w14:paraId="532FFA46"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25C3FAD" w14:textId="329053A9" w:rsidR="002E3E07" w:rsidRPr="00F537DB" w:rsidRDefault="00F954C4"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Berkshire</w:t>
            </w:r>
          </w:p>
        </w:tc>
        <w:tc>
          <w:tcPr>
            <w:tcW w:w="1442" w:type="dxa"/>
            <w:tcBorders>
              <w:top w:val="nil"/>
              <w:left w:val="nil"/>
              <w:bottom w:val="single" w:sz="8" w:space="0" w:color="auto"/>
              <w:right w:val="single" w:sz="8" w:space="0" w:color="auto"/>
            </w:tcBorders>
            <w:shd w:val="clear" w:color="auto" w:fill="auto"/>
          </w:tcPr>
          <w:p w14:paraId="28037A42" w14:textId="2E6B245D" w:rsidR="002E3E07" w:rsidRPr="00F537DB" w:rsidRDefault="00F954C4"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38</w:t>
            </w:r>
          </w:p>
        </w:tc>
        <w:tc>
          <w:tcPr>
            <w:tcW w:w="1500" w:type="dxa"/>
            <w:tcBorders>
              <w:top w:val="nil"/>
              <w:left w:val="nil"/>
              <w:bottom w:val="single" w:sz="8" w:space="0" w:color="auto"/>
              <w:right w:val="single" w:sz="8" w:space="0" w:color="auto"/>
            </w:tcBorders>
            <w:shd w:val="clear" w:color="auto" w:fill="auto"/>
            <w:noWrap/>
          </w:tcPr>
          <w:p w14:paraId="2876087A" w14:textId="4C68FF70" w:rsidR="002E3E07" w:rsidRPr="00F537DB" w:rsidRDefault="00CA39B9"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r w:rsidR="00F954C4">
              <w:rPr>
                <w:rFonts w:ascii="Verdana" w:eastAsia="Times New Roman" w:hAnsi="Verdana" w:cs="Calibri"/>
                <w:color w:val="000000"/>
                <w:lang w:eastAsia="en-GB"/>
              </w:rPr>
              <w:t>1</w:t>
            </w:r>
          </w:p>
        </w:tc>
      </w:tr>
      <w:tr w:rsidR="008B7078" w:rsidRPr="00B50CFB" w14:paraId="13139ED1" w14:textId="77777777" w:rsidTr="00CA39B9">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2A133FB" w14:textId="3A2187D5" w:rsidR="002E3E07" w:rsidRPr="00CA39B9" w:rsidRDefault="00F954C4" w:rsidP="002E3E07">
            <w:pPr>
              <w:spacing w:after="0" w:line="240" w:lineRule="auto"/>
              <w:rPr>
                <w:rFonts w:ascii="Verdana" w:eastAsia="Times New Roman" w:hAnsi="Verdana" w:cs="Calibri"/>
                <w:bCs/>
                <w:color w:val="000000"/>
                <w:highlight w:val="yellow"/>
                <w:lang w:eastAsia="en-GB"/>
              </w:rPr>
            </w:pPr>
            <w:r>
              <w:rPr>
                <w:rFonts w:ascii="Verdana" w:eastAsia="Times New Roman" w:hAnsi="Verdana" w:cs="Calibri"/>
                <w:bCs/>
                <w:color w:val="000000"/>
                <w:lang w:eastAsia="en-GB"/>
              </w:rPr>
              <w:t>Suffolk</w:t>
            </w:r>
          </w:p>
        </w:tc>
        <w:tc>
          <w:tcPr>
            <w:tcW w:w="1442" w:type="dxa"/>
            <w:tcBorders>
              <w:top w:val="nil"/>
              <w:left w:val="nil"/>
              <w:bottom w:val="single" w:sz="8" w:space="0" w:color="auto"/>
              <w:right w:val="single" w:sz="8" w:space="0" w:color="auto"/>
            </w:tcBorders>
            <w:shd w:val="clear" w:color="auto" w:fill="auto"/>
          </w:tcPr>
          <w:p w14:paraId="2D541B3F" w14:textId="3EE23704" w:rsidR="002E3E07" w:rsidRPr="00CA39B9" w:rsidRDefault="002E3E07" w:rsidP="002E3E07">
            <w:pPr>
              <w:spacing w:after="0" w:line="240" w:lineRule="auto"/>
              <w:jc w:val="right"/>
              <w:rPr>
                <w:rFonts w:ascii="Verdana" w:eastAsia="Times New Roman" w:hAnsi="Verdana" w:cs="Calibri"/>
                <w:bCs/>
                <w:color w:val="000000"/>
                <w:highlight w:val="yellow"/>
                <w:lang w:eastAsia="en-GB"/>
              </w:rPr>
            </w:pPr>
            <w:r w:rsidRPr="00CA39B9">
              <w:rPr>
                <w:rFonts w:ascii="Verdana" w:eastAsia="Times New Roman" w:hAnsi="Verdana" w:cs="Calibri"/>
                <w:bCs/>
                <w:color w:val="000000"/>
                <w:lang w:eastAsia="en-GB"/>
              </w:rPr>
              <w:t>1</w:t>
            </w:r>
            <w:r w:rsidR="00F954C4">
              <w:rPr>
                <w:rFonts w:ascii="Verdana" w:eastAsia="Times New Roman" w:hAnsi="Verdana" w:cs="Calibri"/>
                <w:bCs/>
                <w:color w:val="000000"/>
                <w:lang w:eastAsia="en-GB"/>
              </w:rPr>
              <w:t>4</w:t>
            </w:r>
          </w:p>
        </w:tc>
        <w:tc>
          <w:tcPr>
            <w:tcW w:w="1500" w:type="dxa"/>
            <w:tcBorders>
              <w:top w:val="nil"/>
              <w:left w:val="nil"/>
              <w:bottom w:val="single" w:sz="8" w:space="0" w:color="auto"/>
              <w:right w:val="single" w:sz="8" w:space="0" w:color="auto"/>
            </w:tcBorders>
            <w:shd w:val="clear" w:color="auto" w:fill="auto"/>
            <w:noWrap/>
          </w:tcPr>
          <w:p w14:paraId="0EA60B7E" w14:textId="77777777" w:rsidR="002E3E07" w:rsidRPr="00CA39B9" w:rsidRDefault="00CA39B9" w:rsidP="002E3E07">
            <w:pPr>
              <w:spacing w:after="0" w:line="240" w:lineRule="auto"/>
              <w:jc w:val="right"/>
              <w:rPr>
                <w:rFonts w:ascii="Verdana" w:eastAsia="Times New Roman" w:hAnsi="Verdana" w:cs="Calibri"/>
                <w:bCs/>
                <w:color w:val="000000"/>
                <w:highlight w:val="yellow"/>
                <w:lang w:eastAsia="en-GB"/>
              </w:rPr>
            </w:pPr>
            <w:r w:rsidRPr="00CA39B9">
              <w:rPr>
                <w:rFonts w:ascii="Verdana" w:eastAsia="Times New Roman" w:hAnsi="Verdana" w:cs="Calibri"/>
                <w:bCs/>
                <w:color w:val="000000"/>
                <w:lang w:eastAsia="en-GB"/>
              </w:rPr>
              <w:t>14</w:t>
            </w:r>
          </w:p>
        </w:tc>
      </w:tr>
      <w:tr w:rsidR="008B7078" w:rsidRPr="00B50CFB" w14:paraId="629275B7"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2C07AAF" w14:textId="48AF683E" w:rsidR="002E3E07" w:rsidRPr="00F537DB" w:rsidRDefault="008B7078"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Bedfordshire</w:t>
            </w:r>
          </w:p>
        </w:tc>
        <w:tc>
          <w:tcPr>
            <w:tcW w:w="1442" w:type="dxa"/>
            <w:tcBorders>
              <w:top w:val="nil"/>
              <w:left w:val="nil"/>
              <w:bottom w:val="single" w:sz="8" w:space="0" w:color="auto"/>
              <w:right w:val="single" w:sz="8" w:space="0" w:color="auto"/>
            </w:tcBorders>
            <w:shd w:val="clear" w:color="auto" w:fill="auto"/>
          </w:tcPr>
          <w:p w14:paraId="5D2F85B5" w14:textId="661CEC45" w:rsidR="002E3E07" w:rsidRPr="00F537DB" w:rsidRDefault="008B7078"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20</w:t>
            </w:r>
          </w:p>
        </w:tc>
        <w:tc>
          <w:tcPr>
            <w:tcW w:w="1500" w:type="dxa"/>
            <w:tcBorders>
              <w:top w:val="nil"/>
              <w:left w:val="nil"/>
              <w:bottom w:val="single" w:sz="8" w:space="0" w:color="auto"/>
              <w:right w:val="single" w:sz="8" w:space="0" w:color="auto"/>
            </w:tcBorders>
            <w:shd w:val="clear" w:color="auto" w:fill="auto"/>
            <w:noWrap/>
          </w:tcPr>
          <w:p w14:paraId="03294D98" w14:textId="36735DCE" w:rsidR="002E3E07" w:rsidRPr="00F537DB" w:rsidRDefault="008B7078"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15</w:t>
            </w:r>
          </w:p>
        </w:tc>
      </w:tr>
      <w:tr w:rsidR="0008233E" w:rsidRPr="00B50CFB" w14:paraId="568A2504"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tcPr>
          <w:p w14:paraId="3794A58E" w14:textId="32C373B6" w:rsidR="0008233E" w:rsidRDefault="0008233E"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Hereford and Worcester</w:t>
            </w:r>
          </w:p>
        </w:tc>
        <w:tc>
          <w:tcPr>
            <w:tcW w:w="1442" w:type="dxa"/>
            <w:tcBorders>
              <w:top w:val="nil"/>
              <w:left w:val="nil"/>
              <w:bottom w:val="single" w:sz="8" w:space="0" w:color="auto"/>
              <w:right w:val="single" w:sz="8" w:space="0" w:color="auto"/>
            </w:tcBorders>
            <w:shd w:val="clear" w:color="auto" w:fill="auto"/>
          </w:tcPr>
          <w:p w14:paraId="5CA012B9" w14:textId="57E9D486" w:rsidR="0008233E" w:rsidRDefault="0008233E"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31</w:t>
            </w:r>
          </w:p>
        </w:tc>
        <w:tc>
          <w:tcPr>
            <w:tcW w:w="1500" w:type="dxa"/>
            <w:tcBorders>
              <w:top w:val="nil"/>
              <w:left w:val="nil"/>
              <w:bottom w:val="single" w:sz="8" w:space="0" w:color="auto"/>
              <w:right w:val="single" w:sz="8" w:space="0" w:color="auto"/>
            </w:tcBorders>
            <w:shd w:val="clear" w:color="auto" w:fill="auto"/>
            <w:noWrap/>
          </w:tcPr>
          <w:p w14:paraId="03FB30C2" w14:textId="5FDB0C46" w:rsidR="0008233E" w:rsidRDefault="0008233E"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16</w:t>
            </w:r>
          </w:p>
        </w:tc>
      </w:tr>
      <w:tr w:rsidR="0008233E" w:rsidRPr="00B50CFB" w14:paraId="77191469" w14:textId="77777777" w:rsidTr="008B7078">
        <w:trPr>
          <w:trHeight w:val="315"/>
        </w:trPr>
        <w:tc>
          <w:tcPr>
            <w:tcW w:w="2358" w:type="dxa"/>
            <w:tcBorders>
              <w:top w:val="nil"/>
              <w:left w:val="single" w:sz="8" w:space="0" w:color="auto"/>
              <w:bottom w:val="single" w:sz="8" w:space="0" w:color="auto"/>
              <w:right w:val="single" w:sz="8" w:space="0" w:color="auto"/>
            </w:tcBorders>
            <w:shd w:val="clear" w:color="auto" w:fill="FFFF00"/>
            <w:hideMark/>
          </w:tcPr>
          <w:p w14:paraId="27BAE1D9" w14:textId="639338EE" w:rsidR="002E3E07" w:rsidRPr="008B7078" w:rsidRDefault="008B7078" w:rsidP="002E3E07">
            <w:pPr>
              <w:spacing w:after="0" w:line="240" w:lineRule="auto"/>
              <w:rPr>
                <w:rFonts w:ascii="Verdana" w:eastAsia="Times New Roman" w:hAnsi="Verdana" w:cs="Calibri"/>
                <w:b/>
                <w:color w:val="000000"/>
                <w:lang w:eastAsia="en-GB"/>
              </w:rPr>
            </w:pPr>
            <w:r w:rsidRPr="008B7078">
              <w:rPr>
                <w:rFonts w:ascii="Verdana" w:eastAsia="Times New Roman" w:hAnsi="Verdana" w:cs="Calibri"/>
                <w:b/>
                <w:color w:val="000000"/>
                <w:lang w:eastAsia="en-GB"/>
              </w:rPr>
              <w:t>Buckinghamshire</w:t>
            </w:r>
          </w:p>
        </w:tc>
        <w:tc>
          <w:tcPr>
            <w:tcW w:w="1442" w:type="dxa"/>
            <w:tcBorders>
              <w:top w:val="nil"/>
              <w:left w:val="nil"/>
              <w:bottom w:val="single" w:sz="8" w:space="0" w:color="auto"/>
              <w:right w:val="single" w:sz="8" w:space="0" w:color="auto"/>
            </w:tcBorders>
            <w:shd w:val="clear" w:color="auto" w:fill="FFFF00"/>
          </w:tcPr>
          <w:p w14:paraId="47770FAF" w14:textId="2D3A57BB" w:rsidR="002E3E07" w:rsidRPr="008B7078" w:rsidRDefault="008B7078" w:rsidP="002E3E07">
            <w:pPr>
              <w:spacing w:after="0" w:line="240" w:lineRule="auto"/>
              <w:jc w:val="right"/>
              <w:rPr>
                <w:rFonts w:ascii="Verdana" w:eastAsia="Times New Roman" w:hAnsi="Verdana" w:cs="Calibri"/>
                <w:b/>
                <w:color w:val="000000"/>
                <w:lang w:eastAsia="en-GB"/>
              </w:rPr>
            </w:pPr>
            <w:r w:rsidRPr="008B7078">
              <w:rPr>
                <w:rFonts w:ascii="Verdana" w:eastAsia="Times New Roman" w:hAnsi="Verdana" w:cs="Calibri"/>
                <w:b/>
                <w:color w:val="000000"/>
                <w:lang w:eastAsia="en-GB"/>
              </w:rPr>
              <w:t>20</w:t>
            </w:r>
          </w:p>
        </w:tc>
        <w:tc>
          <w:tcPr>
            <w:tcW w:w="1500" w:type="dxa"/>
            <w:tcBorders>
              <w:top w:val="nil"/>
              <w:left w:val="nil"/>
              <w:bottom w:val="single" w:sz="8" w:space="0" w:color="auto"/>
              <w:right w:val="single" w:sz="8" w:space="0" w:color="auto"/>
            </w:tcBorders>
            <w:shd w:val="clear" w:color="auto" w:fill="FFFF00"/>
            <w:noWrap/>
          </w:tcPr>
          <w:p w14:paraId="3DA17BD9" w14:textId="525A1DC0" w:rsidR="002E3E07" w:rsidRPr="008B7078" w:rsidRDefault="008B7078" w:rsidP="002E3E07">
            <w:pPr>
              <w:spacing w:after="0" w:line="240" w:lineRule="auto"/>
              <w:jc w:val="right"/>
              <w:rPr>
                <w:rFonts w:ascii="Verdana" w:eastAsia="Times New Roman" w:hAnsi="Verdana" w:cs="Calibri"/>
                <w:b/>
                <w:color w:val="000000"/>
                <w:lang w:eastAsia="en-GB"/>
              </w:rPr>
            </w:pPr>
            <w:r w:rsidRPr="008B7078">
              <w:rPr>
                <w:rFonts w:ascii="Verdana" w:eastAsia="Times New Roman" w:hAnsi="Verdana" w:cs="Calibri"/>
                <w:b/>
                <w:color w:val="000000"/>
                <w:lang w:eastAsia="en-GB"/>
              </w:rPr>
              <w:t>17</w:t>
            </w:r>
          </w:p>
        </w:tc>
      </w:tr>
      <w:tr w:rsidR="008B7078" w:rsidRPr="00B50CFB" w14:paraId="70546354"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18310585" w14:textId="33F63461" w:rsidR="002E3E07" w:rsidRPr="00F537DB" w:rsidRDefault="008B7078"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Oxfordshire</w:t>
            </w:r>
          </w:p>
        </w:tc>
        <w:tc>
          <w:tcPr>
            <w:tcW w:w="1442" w:type="dxa"/>
            <w:tcBorders>
              <w:top w:val="nil"/>
              <w:left w:val="nil"/>
              <w:bottom w:val="single" w:sz="8" w:space="0" w:color="auto"/>
              <w:right w:val="single" w:sz="8" w:space="0" w:color="auto"/>
            </w:tcBorders>
            <w:shd w:val="clear" w:color="auto" w:fill="auto"/>
          </w:tcPr>
          <w:p w14:paraId="2BAD7F15" w14:textId="5E52EEAD" w:rsidR="002E3E07" w:rsidRPr="00F537DB" w:rsidRDefault="008B7078"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20</w:t>
            </w:r>
          </w:p>
        </w:tc>
        <w:tc>
          <w:tcPr>
            <w:tcW w:w="1500" w:type="dxa"/>
            <w:tcBorders>
              <w:top w:val="nil"/>
              <w:left w:val="nil"/>
              <w:bottom w:val="single" w:sz="8" w:space="0" w:color="auto"/>
              <w:right w:val="single" w:sz="8" w:space="0" w:color="auto"/>
            </w:tcBorders>
            <w:shd w:val="clear" w:color="auto" w:fill="auto"/>
            <w:noWrap/>
          </w:tcPr>
          <w:p w14:paraId="39F11236" w14:textId="66C36030" w:rsidR="002E3E07" w:rsidRPr="00F537DB" w:rsidRDefault="008B7078"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18</w:t>
            </w:r>
          </w:p>
        </w:tc>
      </w:tr>
      <w:tr w:rsidR="008B7078" w:rsidRPr="00B50CFB" w14:paraId="1DCD2746"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07372D1" w14:textId="1D5299B3" w:rsidR="002E3E07" w:rsidRPr="00F537DB" w:rsidRDefault="008B7078"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Northamptonshire</w:t>
            </w:r>
          </w:p>
        </w:tc>
        <w:tc>
          <w:tcPr>
            <w:tcW w:w="1442" w:type="dxa"/>
            <w:tcBorders>
              <w:top w:val="nil"/>
              <w:left w:val="nil"/>
              <w:bottom w:val="single" w:sz="8" w:space="0" w:color="auto"/>
              <w:right w:val="single" w:sz="8" w:space="0" w:color="auto"/>
            </w:tcBorders>
            <w:shd w:val="clear" w:color="auto" w:fill="auto"/>
          </w:tcPr>
          <w:p w14:paraId="1808ABF2" w14:textId="7D827D4B" w:rsidR="002E3E07" w:rsidRPr="00F537DB" w:rsidRDefault="008B7078"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r w:rsidR="002E3E07" w:rsidRPr="00F537DB">
              <w:rPr>
                <w:rFonts w:ascii="Verdana" w:eastAsia="Times New Roman" w:hAnsi="Verdana" w:cs="Calibri"/>
                <w:color w:val="000000"/>
                <w:lang w:eastAsia="en-GB"/>
              </w:rPr>
              <w:t>2</w:t>
            </w:r>
          </w:p>
        </w:tc>
        <w:tc>
          <w:tcPr>
            <w:tcW w:w="1500" w:type="dxa"/>
            <w:tcBorders>
              <w:top w:val="nil"/>
              <w:left w:val="nil"/>
              <w:bottom w:val="single" w:sz="8" w:space="0" w:color="auto"/>
              <w:right w:val="single" w:sz="8" w:space="0" w:color="auto"/>
            </w:tcBorders>
            <w:shd w:val="clear" w:color="auto" w:fill="auto"/>
            <w:noWrap/>
          </w:tcPr>
          <w:p w14:paraId="1FB92BAC" w14:textId="77777777" w:rsidR="002E3E07" w:rsidRPr="00F537DB" w:rsidRDefault="00BD1D64"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20</w:t>
            </w:r>
          </w:p>
        </w:tc>
      </w:tr>
      <w:tr w:rsidR="008B7078" w:rsidRPr="00B50CFB" w14:paraId="15915904"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2686E56" w14:textId="6C4EB935" w:rsidR="002E3E07" w:rsidRPr="00F537DB" w:rsidRDefault="0008233E"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Cambridgeshire</w:t>
            </w:r>
          </w:p>
        </w:tc>
        <w:tc>
          <w:tcPr>
            <w:tcW w:w="1442" w:type="dxa"/>
            <w:tcBorders>
              <w:top w:val="nil"/>
              <w:left w:val="nil"/>
              <w:bottom w:val="single" w:sz="8" w:space="0" w:color="auto"/>
              <w:right w:val="single" w:sz="8" w:space="0" w:color="auto"/>
            </w:tcBorders>
            <w:shd w:val="clear" w:color="auto" w:fill="auto"/>
          </w:tcPr>
          <w:p w14:paraId="5B5DC523" w14:textId="6D3A20EB" w:rsidR="002E3E07" w:rsidRPr="00F537DB" w:rsidRDefault="0008233E"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13</w:t>
            </w:r>
          </w:p>
        </w:tc>
        <w:tc>
          <w:tcPr>
            <w:tcW w:w="1500" w:type="dxa"/>
            <w:tcBorders>
              <w:top w:val="nil"/>
              <w:left w:val="nil"/>
              <w:bottom w:val="single" w:sz="8" w:space="0" w:color="auto"/>
              <w:right w:val="single" w:sz="8" w:space="0" w:color="auto"/>
            </w:tcBorders>
            <w:shd w:val="clear" w:color="auto" w:fill="auto"/>
            <w:noWrap/>
          </w:tcPr>
          <w:p w14:paraId="3760BF22" w14:textId="30252EB1" w:rsidR="002E3E07" w:rsidRPr="00F537DB" w:rsidRDefault="0008233E"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26</w:t>
            </w:r>
          </w:p>
        </w:tc>
      </w:tr>
      <w:tr w:rsidR="008B7078" w:rsidRPr="00B50CFB" w14:paraId="5DEC7A85" w14:textId="77777777" w:rsidTr="006D632E">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410A3E2" w14:textId="16597BC3" w:rsidR="002E3E07" w:rsidRPr="00F537DB" w:rsidRDefault="0008233E" w:rsidP="002E3E0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Norfolk</w:t>
            </w:r>
          </w:p>
        </w:tc>
        <w:tc>
          <w:tcPr>
            <w:tcW w:w="1442" w:type="dxa"/>
            <w:tcBorders>
              <w:top w:val="nil"/>
              <w:left w:val="nil"/>
              <w:bottom w:val="single" w:sz="8" w:space="0" w:color="auto"/>
              <w:right w:val="single" w:sz="8" w:space="0" w:color="auto"/>
            </w:tcBorders>
            <w:shd w:val="clear" w:color="auto" w:fill="auto"/>
          </w:tcPr>
          <w:p w14:paraId="0D6BB5C6" w14:textId="493CA463" w:rsidR="002E3E07" w:rsidRPr="00F537DB" w:rsidRDefault="0008233E"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31</w:t>
            </w:r>
          </w:p>
        </w:tc>
        <w:tc>
          <w:tcPr>
            <w:tcW w:w="1500" w:type="dxa"/>
            <w:tcBorders>
              <w:top w:val="nil"/>
              <w:left w:val="nil"/>
              <w:bottom w:val="single" w:sz="8" w:space="0" w:color="auto"/>
              <w:right w:val="single" w:sz="8" w:space="0" w:color="auto"/>
            </w:tcBorders>
            <w:shd w:val="clear" w:color="auto" w:fill="auto"/>
            <w:noWrap/>
          </w:tcPr>
          <w:p w14:paraId="782927E5" w14:textId="481BE9BB" w:rsidR="002E3E07" w:rsidRPr="00F537DB" w:rsidRDefault="0008233E" w:rsidP="002E3E07">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28</w:t>
            </w:r>
          </w:p>
        </w:tc>
      </w:tr>
    </w:tbl>
    <w:p w14:paraId="29907096" w14:textId="77777777" w:rsidR="00432A8D" w:rsidRPr="00B50CFB" w:rsidRDefault="00432A8D" w:rsidP="00B80FBD">
      <w:pPr>
        <w:rPr>
          <w:rFonts w:ascii="Verdana" w:eastAsia="Times New Roman" w:hAnsi="Verdana" w:cs="Times New Roman"/>
          <w:highlight w:val="yellow"/>
          <w:lang w:eastAsia="en-GB"/>
        </w:rPr>
      </w:pPr>
    </w:p>
    <w:p w14:paraId="253C0010" w14:textId="77777777" w:rsidR="00432A8D" w:rsidRPr="00B50CFB" w:rsidRDefault="00432A8D" w:rsidP="00B80FBD">
      <w:pPr>
        <w:rPr>
          <w:rFonts w:ascii="Verdana" w:eastAsia="Times New Roman" w:hAnsi="Verdana" w:cs="Times New Roman"/>
          <w:highlight w:val="yellow"/>
          <w:lang w:eastAsia="en-GB"/>
        </w:rPr>
      </w:pPr>
    </w:p>
    <w:p w14:paraId="09DB29ED" w14:textId="77777777" w:rsidR="00432A8D" w:rsidRPr="00B50CFB" w:rsidRDefault="00432A8D" w:rsidP="00B80FBD">
      <w:pPr>
        <w:rPr>
          <w:rFonts w:ascii="Verdana" w:eastAsia="Times New Roman" w:hAnsi="Verdana" w:cs="Times New Roman"/>
          <w:highlight w:val="yellow"/>
          <w:lang w:eastAsia="en-GB"/>
        </w:rPr>
      </w:pPr>
    </w:p>
    <w:p w14:paraId="37E420D8" w14:textId="77777777" w:rsidR="00432A8D" w:rsidRPr="00B50CFB" w:rsidRDefault="00432A8D" w:rsidP="00B80FBD">
      <w:pPr>
        <w:rPr>
          <w:rFonts w:ascii="Verdana" w:eastAsia="Times New Roman" w:hAnsi="Verdana" w:cs="Times New Roman"/>
          <w:highlight w:val="yellow"/>
          <w:lang w:eastAsia="en-GB"/>
        </w:rPr>
      </w:pPr>
    </w:p>
    <w:p w14:paraId="45CCDDB4" w14:textId="77777777" w:rsidR="00432A8D" w:rsidRPr="00B50CFB" w:rsidRDefault="00432A8D" w:rsidP="00B80FBD">
      <w:pPr>
        <w:rPr>
          <w:rFonts w:ascii="Verdana" w:eastAsia="Times New Roman" w:hAnsi="Verdana" w:cs="Times New Roman"/>
          <w:highlight w:val="yellow"/>
          <w:lang w:eastAsia="en-GB"/>
        </w:rPr>
      </w:pPr>
    </w:p>
    <w:p w14:paraId="5F62170F" w14:textId="77777777" w:rsidR="00555186" w:rsidRPr="00B50CFB" w:rsidRDefault="00555186" w:rsidP="007814EA">
      <w:pPr>
        <w:rPr>
          <w:rFonts w:ascii="Verdana" w:hAnsi="Verdana"/>
          <w:highlight w:val="yellow"/>
        </w:rPr>
      </w:pPr>
    </w:p>
    <w:p w14:paraId="511B7E07" w14:textId="77777777" w:rsidR="00555186" w:rsidRPr="00B50CFB" w:rsidRDefault="00555186" w:rsidP="00555186">
      <w:pPr>
        <w:rPr>
          <w:rFonts w:ascii="Verdana" w:hAnsi="Verdana"/>
          <w:highlight w:val="yellow"/>
        </w:rPr>
      </w:pPr>
    </w:p>
    <w:p w14:paraId="26BEBBBF" w14:textId="77777777" w:rsidR="00555186" w:rsidRPr="00B50CFB" w:rsidRDefault="00555186" w:rsidP="00555186">
      <w:pPr>
        <w:rPr>
          <w:rFonts w:ascii="Verdana" w:hAnsi="Verdana"/>
          <w:highlight w:val="yellow"/>
        </w:rPr>
      </w:pPr>
    </w:p>
    <w:p w14:paraId="7E3542C2" w14:textId="77777777" w:rsidR="00555186" w:rsidRPr="00B50CFB" w:rsidRDefault="00555186" w:rsidP="00555186">
      <w:pPr>
        <w:rPr>
          <w:rFonts w:ascii="Verdana" w:hAnsi="Verdana"/>
          <w:highlight w:val="yellow"/>
        </w:rPr>
      </w:pPr>
    </w:p>
    <w:p w14:paraId="5C4F0B67" w14:textId="77777777" w:rsidR="002E7734" w:rsidRPr="00B50CFB" w:rsidRDefault="002E7734" w:rsidP="002E7734">
      <w:pPr>
        <w:rPr>
          <w:rFonts w:ascii="Verdana" w:hAnsi="Verdana"/>
          <w:highlight w:val="yellow"/>
        </w:rPr>
      </w:pPr>
    </w:p>
    <w:p w14:paraId="5F75633B" w14:textId="77777777" w:rsidR="007814EA" w:rsidRPr="00B50CFB" w:rsidRDefault="007814EA" w:rsidP="002E7734">
      <w:pPr>
        <w:rPr>
          <w:rFonts w:ascii="Verdana" w:hAnsi="Verdana"/>
          <w:highlight w:val="yellow"/>
        </w:rPr>
      </w:pPr>
    </w:p>
    <w:tbl>
      <w:tblPr>
        <w:tblpPr w:leftFromText="180" w:rightFromText="180" w:vertAnchor="page" w:horzAnchor="margin" w:tblpY="7861"/>
        <w:tblW w:w="5300" w:type="dxa"/>
        <w:tblLook w:val="04A0" w:firstRow="1" w:lastRow="0" w:firstColumn="1" w:lastColumn="0" w:noHBand="0" w:noVBand="1"/>
      </w:tblPr>
      <w:tblGrid>
        <w:gridCol w:w="2358"/>
        <w:gridCol w:w="1442"/>
        <w:gridCol w:w="1500"/>
      </w:tblGrid>
      <w:tr w:rsidR="008D6DEA" w:rsidRPr="00B50CFB" w14:paraId="60EE05AB" w14:textId="77777777" w:rsidTr="008D6DEA">
        <w:trPr>
          <w:trHeight w:val="870"/>
        </w:trPr>
        <w:tc>
          <w:tcPr>
            <w:tcW w:w="2358" w:type="dxa"/>
            <w:tcBorders>
              <w:top w:val="single" w:sz="8" w:space="0" w:color="auto"/>
              <w:left w:val="single" w:sz="8" w:space="0" w:color="auto"/>
              <w:bottom w:val="single" w:sz="8" w:space="0" w:color="auto"/>
              <w:right w:val="single" w:sz="8" w:space="0" w:color="auto"/>
            </w:tcBorders>
            <w:shd w:val="clear" w:color="000000" w:fill="C6E0B4"/>
            <w:hideMark/>
          </w:tcPr>
          <w:p w14:paraId="440E70FF" w14:textId="77777777" w:rsidR="008D6DEA" w:rsidRPr="0023585C" w:rsidRDefault="008D6DEA" w:rsidP="008D6DEA">
            <w:pPr>
              <w:spacing w:after="0" w:line="240" w:lineRule="auto"/>
              <w:rPr>
                <w:rFonts w:ascii="Verdana" w:eastAsia="Times New Roman" w:hAnsi="Verdana" w:cs="Calibri"/>
                <w:b/>
                <w:bCs/>
                <w:color w:val="000000"/>
                <w:lang w:eastAsia="en-GB"/>
              </w:rPr>
            </w:pPr>
            <w:r w:rsidRPr="0023585C">
              <w:rPr>
                <w:rFonts w:ascii="Verdana" w:eastAsia="Times New Roman" w:hAnsi="Verdana" w:cs="Calibri"/>
                <w:b/>
                <w:bCs/>
                <w:color w:val="000000"/>
                <w:lang w:eastAsia="en-GB"/>
              </w:rPr>
              <w:t xml:space="preserve">Total </w:t>
            </w:r>
            <w:r>
              <w:rPr>
                <w:rFonts w:ascii="Verdana" w:eastAsia="Times New Roman" w:hAnsi="Verdana" w:cs="Calibri"/>
                <w:b/>
                <w:bCs/>
                <w:color w:val="000000"/>
                <w:lang w:eastAsia="en-GB"/>
              </w:rPr>
              <w:t>n</w:t>
            </w:r>
            <w:r w:rsidRPr="0023585C">
              <w:rPr>
                <w:rFonts w:ascii="Verdana" w:eastAsia="Times New Roman" w:hAnsi="Verdana" w:cs="Calibri"/>
                <w:b/>
                <w:bCs/>
                <w:color w:val="000000"/>
                <w:lang w:eastAsia="en-GB"/>
              </w:rPr>
              <w:t>umber of injuries at Special Services</w:t>
            </w:r>
          </w:p>
        </w:tc>
        <w:tc>
          <w:tcPr>
            <w:tcW w:w="1442" w:type="dxa"/>
            <w:tcBorders>
              <w:top w:val="single" w:sz="8" w:space="0" w:color="auto"/>
              <w:left w:val="nil"/>
              <w:bottom w:val="single" w:sz="8" w:space="0" w:color="auto"/>
              <w:right w:val="single" w:sz="8" w:space="0" w:color="auto"/>
            </w:tcBorders>
            <w:shd w:val="clear" w:color="000000" w:fill="C6E0B4"/>
            <w:hideMark/>
          </w:tcPr>
          <w:p w14:paraId="7911D048" w14:textId="77777777" w:rsidR="008D6DEA" w:rsidRPr="0023585C" w:rsidRDefault="008D6DEA" w:rsidP="008D6DEA">
            <w:pPr>
              <w:spacing w:after="0" w:line="240" w:lineRule="auto"/>
              <w:rPr>
                <w:rFonts w:ascii="Verdana" w:eastAsia="Times New Roman" w:hAnsi="Verdana" w:cs="Calibri"/>
                <w:b/>
                <w:bCs/>
                <w:color w:val="000000"/>
                <w:lang w:eastAsia="en-GB"/>
              </w:rPr>
            </w:pPr>
            <w:r w:rsidRPr="0023585C">
              <w:rPr>
                <w:rFonts w:ascii="Verdana" w:eastAsia="Times New Roman" w:hAnsi="Verdana" w:cs="Calibri"/>
                <w:b/>
                <w:bCs/>
                <w:color w:val="000000"/>
                <w:lang w:eastAsia="en-GB"/>
              </w:rPr>
              <w:t>201</w:t>
            </w:r>
            <w:r>
              <w:rPr>
                <w:rFonts w:ascii="Verdana" w:eastAsia="Times New Roman" w:hAnsi="Verdana" w:cs="Calibri"/>
                <w:b/>
                <w:bCs/>
                <w:color w:val="000000"/>
                <w:lang w:eastAsia="en-GB"/>
              </w:rPr>
              <w:t>9</w:t>
            </w:r>
            <w:r w:rsidRPr="0023585C">
              <w:rPr>
                <w:rFonts w:ascii="Verdana" w:eastAsia="Times New Roman" w:hAnsi="Verdana" w:cs="Calibri"/>
                <w:b/>
                <w:bCs/>
                <w:color w:val="000000"/>
                <w:lang w:eastAsia="en-GB"/>
              </w:rPr>
              <w:t>-</w:t>
            </w:r>
            <w:r>
              <w:rPr>
                <w:rFonts w:ascii="Verdana" w:eastAsia="Times New Roman" w:hAnsi="Verdana" w:cs="Calibri"/>
                <w:b/>
                <w:bCs/>
                <w:color w:val="000000"/>
                <w:lang w:eastAsia="en-GB"/>
              </w:rPr>
              <w:t>20</w:t>
            </w:r>
          </w:p>
        </w:tc>
        <w:tc>
          <w:tcPr>
            <w:tcW w:w="1500" w:type="dxa"/>
            <w:tcBorders>
              <w:top w:val="single" w:sz="4" w:space="0" w:color="auto"/>
              <w:left w:val="nil"/>
              <w:bottom w:val="single" w:sz="8" w:space="0" w:color="auto"/>
              <w:right w:val="single" w:sz="8" w:space="0" w:color="auto"/>
            </w:tcBorders>
            <w:shd w:val="clear" w:color="000000" w:fill="C6E0B4"/>
            <w:hideMark/>
          </w:tcPr>
          <w:p w14:paraId="3B705EB4" w14:textId="77777777" w:rsidR="008D6DEA" w:rsidRPr="0023585C" w:rsidRDefault="008D6DEA" w:rsidP="008D6DEA">
            <w:pPr>
              <w:spacing w:after="0" w:line="240" w:lineRule="auto"/>
              <w:rPr>
                <w:rFonts w:ascii="Verdana" w:eastAsia="Times New Roman" w:hAnsi="Verdana" w:cs="Calibri"/>
                <w:b/>
                <w:bCs/>
                <w:color w:val="000000"/>
                <w:lang w:eastAsia="en-GB"/>
              </w:rPr>
            </w:pPr>
            <w:r w:rsidRPr="0023585C">
              <w:rPr>
                <w:rFonts w:ascii="Verdana" w:eastAsia="Times New Roman" w:hAnsi="Verdana" w:cs="Calibri"/>
                <w:b/>
                <w:bCs/>
                <w:color w:val="000000"/>
                <w:lang w:eastAsia="en-GB"/>
              </w:rPr>
              <w:t>20</w:t>
            </w:r>
            <w:r>
              <w:rPr>
                <w:rFonts w:ascii="Verdana" w:eastAsia="Times New Roman" w:hAnsi="Verdana" w:cs="Calibri"/>
                <w:b/>
                <w:bCs/>
                <w:color w:val="000000"/>
                <w:lang w:eastAsia="en-GB"/>
              </w:rPr>
              <w:t>20</w:t>
            </w:r>
            <w:r w:rsidRPr="0023585C">
              <w:rPr>
                <w:rFonts w:ascii="Verdana" w:eastAsia="Times New Roman" w:hAnsi="Verdana" w:cs="Calibri"/>
                <w:b/>
                <w:bCs/>
                <w:color w:val="000000"/>
                <w:lang w:eastAsia="en-GB"/>
              </w:rPr>
              <w:t>-</w:t>
            </w:r>
            <w:r>
              <w:rPr>
                <w:rFonts w:ascii="Verdana" w:eastAsia="Times New Roman" w:hAnsi="Verdana" w:cs="Calibri"/>
                <w:b/>
                <w:bCs/>
                <w:color w:val="000000"/>
                <w:lang w:eastAsia="en-GB"/>
              </w:rPr>
              <w:t>21</w:t>
            </w:r>
          </w:p>
        </w:tc>
      </w:tr>
      <w:tr w:rsidR="008D6DEA" w:rsidRPr="00B50CFB" w14:paraId="1B0F2C1F"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FFFF00"/>
            <w:hideMark/>
          </w:tcPr>
          <w:p w14:paraId="265C48A4" w14:textId="77777777" w:rsidR="008D6DEA" w:rsidRPr="00E46E61" w:rsidRDefault="008D6DEA" w:rsidP="008D6DEA">
            <w:pPr>
              <w:spacing w:after="0" w:line="240" w:lineRule="auto"/>
              <w:rPr>
                <w:rFonts w:ascii="Verdana" w:eastAsia="Times New Roman" w:hAnsi="Verdana" w:cs="Calibri"/>
                <w:b/>
                <w:color w:val="000000"/>
                <w:lang w:eastAsia="en-GB"/>
              </w:rPr>
            </w:pPr>
            <w:r w:rsidRPr="00E46E61">
              <w:rPr>
                <w:rFonts w:ascii="Verdana" w:eastAsia="Times New Roman" w:hAnsi="Verdana" w:cs="Calibri"/>
                <w:b/>
                <w:color w:val="000000"/>
                <w:lang w:eastAsia="en-GB"/>
              </w:rPr>
              <w:t>Buckinghamshire</w:t>
            </w:r>
          </w:p>
        </w:tc>
        <w:tc>
          <w:tcPr>
            <w:tcW w:w="1442" w:type="dxa"/>
            <w:tcBorders>
              <w:top w:val="nil"/>
              <w:left w:val="nil"/>
              <w:bottom w:val="single" w:sz="8" w:space="0" w:color="auto"/>
              <w:right w:val="single" w:sz="8" w:space="0" w:color="auto"/>
            </w:tcBorders>
            <w:shd w:val="clear" w:color="auto" w:fill="FFFF00"/>
          </w:tcPr>
          <w:p w14:paraId="3D5B750C" w14:textId="77777777" w:rsidR="008D6DEA" w:rsidRPr="00E46E61" w:rsidRDefault="008D6DEA" w:rsidP="008D6DEA">
            <w:pPr>
              <w:spacing w:after="0" w:line="240" w:lineRule="auto"/>
              <w:jc w:val="right"/>
              <w:rPr>
                <w:rFonts w:ascii="Verdana" w:eastAsia="Times New Roman" w:hAnsi="Verdana" w:cs="Calibri"/>
                <w:b/>
                <w:color w:val="000000"/>
                <w:lang w:eastAsia="en-GB"/>
              </w:rPr>
            </w:pPr>
            <w:r>
              <w:rPr>
                <w:rFonts w:ascii="Verdana" w:eastAsia="Times New Roman" w:hAnsi="Verdana" w:cs="Calibri"/>
                <w:b/>
                <w:color w:val="000000"/>
                <w:lang w:eastAsia="en-GB"/>
              </w:rPr>
              <w:t>2</w:t>
            </w:r>
          </w:p>
        </w:tc>
        <w:tc>
          <w:tcPr>
            <w:tcW w:w="1500" w:type="dxa"/>
            <w:tcBorders>
              <w:top w:val="nil"/>
              <w:left w:val="nil"/>
              <w:bottom w:val="single" w:sz="8" w:space="0" w:color="auto"/>
              <w:right w:val="single" w:sz="8" w:space="0" w:color="auto"/>
            </w:tcBorders>
            <w:shd w:val="clear" w:color="auto" w:fill="FFFF00"/>
            <w:noWrap/>
          </w:tcPr>
          <w:p w14:paraId="78A63369" w14:textId="77777777" w:rsidR="008D6DEA" w:rsidRPr="00E46E61" w:rsidRDefault="008D6DEA" w:rsidP="008D6DEA">
            <w:pPr>
              <w:spacing w:after="0" w:line="240" w:lineRule="auto"/>
              <w:jc w:val="right"/>
              <w:rPr>
                <w:rFonts w:ascii="Verdana" w:eastAsia="Times New Roman" w:hAnsi="Verdana" w:cs="Calibri"/>
                <w:b/>
                <w:color w:val="000000"/>
                <w:lang w:eastAsia="en-GB"/>
              </w:rPr>
            </w:pPr>
            <w:r>
              <w:rPr>
                <w:rFonts w:ascii="Verdana" w:eastAsia="Times New Roman" w:hAnsi="Verdana" w:cs="Calibri"/>
                <w:b/>
                <w:color w:val="000000"/>
                <w:lang w:eastAsia="en-GB"/>
              </w:rPr>
              <w:t>0</w:t>
            </w:r>
          </w:p>
        </w:tc>
      </w:tr>
      <w:tr w:rsidR="008D6DEA" w:rsidRPr="00B50CFB" w14:paraId="480A9D2C"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301C672C"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Suffolk</w:t>
            </w:r>
          </w:p>
        </w:tc>
        <w:tc>
          <w:tcPr>
            <w:tcW w:w="1442" w:type="dxa"/>
            <w:tcBorders>
              <w:top w:val="nil"/>
              <w:left w:val="nil"/>
              <w:bottom w:val="single" w:sz="8" w:space="0" w:color="auto"/>
              <w:right w:val="single" w:sz="8" w:space="0" w:color="auto"/>
            </w:tcBorders>
            <w:shd w:val="clear" w:color="auto" w:fill="auto"/>
          </w:tcPr>
          <w:p w14:paraId="4CAEC884"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w:t>
            </w:r>
          </w:p>
        </w:tc>
        <w:tc>
          <w:tcPr>
            <w:tcW w:w="1500" w:type="dxa"/>
            <w:tcBorders>
              <w:top w:val="nil"/>
              <w:left w:val="nil"/>
              <w:bottom w:val="single" w:sz="8" w:space="0" w:color="auto"/>
              <w:right w:val="single" w:sz="8" w:space="0" w:color="auto"/>
            </w:tcBorders>
            <w:shd w:val="clear" w:color="auto" w:fill="auto"/>
            <w:noWrap/>
          </w:tcPr>
          <w:p w14:paraId="684F5F5F"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w:t>
            </w:r>
          </w:p>
        </w:tc>
      </w:tr>
      <w:tr w:rsidR="008D6DEA" w:rsidRPr="00B50CFB" w14:paraId="4EF99EFE"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FFFFFF" w:themeFill="background1"/>
            <w:hideMark/>
          </w:tcPr>
          <w:p w14:paraId="5A3C7CC5" w14:textId="77777777" w:rsidR="008D6DEA" w:rsidRPr="00E46E61" w:rsidRDefault="008D6DEA" w:rsidP="008D6DEA">
            <w:pPr>
              <w:spacing w:after="0" w:line="240" w:lineRule="auto"/>
              <w:rPr>
                <w:rFonts w:ascii="Verdana" w:eastAsia="Times New Roman" w:hAnsi="Verdana" w:cs="Calibri"/>
                <w:bCs/>
                <w:color w:val="000000"/>
                <w:lang w:eastAsia="en-GB"/>
              </w:rPr>
            </w:pPr>
            <w:r>
              <w:rPr>
                <w:rFonts w:ascii="Verdana" w:eastAsia="Times New Roman" w:hAnsi="Verdana" w:cs="Calibri"/>
                <w:bCs/>
                <w:color w:val="000000"/>
                <w:lang w:eastAsia="en-GB"/>
              </w:rPr>
              <w:t>Berkshire</w:t>
            </w:r>
          </w:p>
        </w:tc>
        <w:tc>
          <w:tcPr>
            <w:tcW w:w="1442" w:type="dxa"/>
            <w:tcBorders>
              <w:top w:val="nil"/>
              <w:left w:val="nil"/>
              <w:bottom w:val="single" w:sz="8" w:space="0" w:color="auto"/>
              <w:right w:val="single" w:sz="8" w:space="0" w:color="auto"/>
            </w:tcBorders>
            <w:shd w:val="clear" w:color="auto" w:fill="FFFFFF" w:themeFill="background1"/>
          </w:tcPr>
          <w:p w14:paraId="5D8B7EF6" w14:textId="77777777" w:rsidR="008D6DEA" w:rsidRPr="00E46E61" w:rsidRDefault="008D6DEA" w:rsidP="008D6DEA">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8</w:t>
            </w:r>
          </w:p>
        </w:tc>
        <w:tc>
          <w:tcPr>
            <w:tcW w:w="1500" w:type="dxa"/>
            <w:tcBorders>
              <w:top w:val="nil"/>
              <w:left w:val="nil"/>
              <w:bottom w:val="single" w:sz="8" w:space="0" w:color="auto"/>
              <w:right w:val="single" w:sz="8" w:space="0" w:color="auto"/>
            </w:tcBorders>
            <w:shd w:val="clear" w:color="auto" w:fill="FFFFFF" w:themeFill="background1"/>
            <w:noWrap/>
          </w:tcPr>
          <w:p w14:paraId="4B9284B3" w14:textId="77777777" w:rsidR="008D6DEA" w:rsidRPr="00E46E61" w:rsidRDefault="008D6DEA" w:rsidP="008D6DEA">
            <w:pPr>
              <w:spacing w:after="0" w:line="240" w:lineRule="auto"/>
              <w:jc w:val="right"/>
              <w:rPr>
                <w:rFonts w:ascii="Verdana" w:eastAsia="Times New Roman" w:hAnsi="Verdana" w:cs="Calibri"/>
                <w:bCs/>
                <w:color w:val="000000"/>
                <w:lang w:eastAsia="en-GB"/>
              </w:rPr>
            </w:pPr>
            <w:r>
              <w:rPr>
                <w:rFonts w:ascii="Verdana" w:eastAsia="Times New Roman" w:hAnsi="Verdana" w:cs="Calibri"/>
                <w:bCs/>
                <w:color w:val="000000"/>
                <w:lang w:eastAsia="en-GB"/>
              </w:rPr>
              <w:t>3</w:t>
            </w:r>
          </w:p>
        </w:tc>
      </w:tr>
      <w:tr w:rsidR="008D6DEA" w:rsidRPr="00B50CFB" w14:paraId="3EE4EDB7"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5955598D"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Northamptonshire</w:t>
            </w:r>
          </w:p>
        </w:tc>
        <w:tc>
          <w:tcPr>
            <w:tcW w:w="1442" w:type="dxa"/>
            <w:tcBorders>
              <w:top w:val="nil"/>
              <w:left w:val="nil"/>
              <w:bottom w:val="single" w:sz="8" w:space="0" w:color="auto"/>
              <w:right w:val="single" w:sz="8" w:space="0" w:color="auto"/>
            </w:tcBorders>
            <w:shd w:val="clear" w:color="auto" w:fill="auto"/>
          </w:tcPr>
          <w:p w14:paraId="3A5969EA"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w:t>
            </w:r>
          </w:p>
        </w:tc>
        <w:tc>
          <w:tcPr>
            <w:tcW w:w="1500" w:type="dxa"/>
            <w:tcBorders>
              <w:top w:val="nil"/>
              <w:left w:val="nil"/>
              <w:bottom w:val="single" w:sz="8" w:space="0" w:color="auto"/>
              <w:right w:val="single" w:sz="8" w:space="0" w:color="auto"/>
            </w:tcBorders>
            <w:shd w:val="clear" w:color="auto" w:fill="auto"/>
            <w:noWrap/>
          </w:tcPr>
          <w:p w14:paraId="1340FADF"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4</w:t>
            </w:r>
          </w:p>
        </w:tc>
      </w:tr>
      <w:tr w:rsidR="008D6DEA" w:rsidRPr="00B50CFB" w14:paraId="26DFCF19" w14:textId="77777777" w:rsidTr="008D6DEA">
        <w:trPr>
          <w:trHeight w:val="377"/>
        </w:trPr>
        <w:tc>
          <w:tcPr>
            <w:tcW w:w="2358" w:type="dxa"/>
            <w:tcBorders>
              <w:top w:val="nil"/>
              <w:left w:val="single" w:sz="8" w:space="0" w:color="auto"/>
              <w:bottom w:val="single" w:sz="8" w:space="0" w:color="auto"/>
              <w:right w:val="single" w:sz="8" w:space="0" w:color="auto"/>
            </w:tcBorders>
            <w:shd w:val="clear" w:color="auto" w:fill="auto"/>
            <w:hideMark/>
          </w:tcPr>
          <w:p w14:paraId="6F8061DD"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Oxfordshire</w:t>
            </w:r>
          </w:p>
        </w:tc>
        <w:tc>
          <w:tcPr>
            <w:tcW w:w="1442" w:type="dxa"/>
            <w:tcBorders>
              <w:top w:val="nil"/>
              <w:left w:val="nil"/>
              <w:bottom w:val="single" w:sz="8" w:space="0" w:color="auto"/>
              <w:right w:val="single" w:sz="8" w:space="0" w:color="auto"/>
            </w:tcBorders>
            <w:shd w:val="clear" w:color="auto" w:fill="auto"/>
          </w:tcPr>
          <w:p w14:paraId="2B375A11"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7</w:t>
            </w:r>
          </w:p>
        </w:tc>
        <w:tc>
          <w:tcPr>
            <w:tcW w:w="1500" w:type="dxa"/>
            <w:tcBorders>
              <w:top w:val="nil"/>
              <w:left w:val="nil"/>
              <w:bottom w:val="single" w:sz="8" w:space="0" w:color="auto"/>
              <w:right w:val="single" w:sz="8" w:space="0" w:color="auto"/>
            </w:tcBorders>
            <w:shd w:val="clear" w:color="auto" w:fill="auto"/>
            <w:noWrap/>
          </w:tcPr>
          <w:p w14:paraId="0586FE8B"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5</w:t>
            </w:r>
          </w:p>
        </w:tc>
      </w:tr>
      <w:tr w:rsidR="008D6DEA" w:rsidRPr="00B50CFB" w14:paraId="5FF74484"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7318B930"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West Sussex</w:t>
            </w:r>
          </w:p>
        </w:tc>
        <w:tc>
          <w:tcPr>
            <w:tcW w:w="1442" w:type="dxa"/>
            <w:tcBorders>
              <w:top w:val="nil"/>
              <w:left w:val="nil"/>
              <w:bottom w:val="single" w:sz="8" w:space="0" w:color="auto"/>
              <w:right w:val="single" w:sz="8" w:space="0" w:color="auto"/>
            </w:tcBorders>
            <w:shd w:val="clear" w:color="auto" w:fill="auto"/>
          </w:tcPr>
          <w:p w14:paraId="16854EBE"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w:t>
            </w:r>
          </w:p>
        </w:tc>
        <w:tc>
          <w:tcPr>
            <w:tcW w:w="1500" w:type="dxa"/>
            <w:tcBorders>
              <w:top w:val="nil"/>
              <w:left w:val="nil"/>
              <w:bottom w:val="single" w:sz="8" w:space="0" w:color="auto"/>
              <w:right w:val="single" w:sz="8" w:space="0" w:color="auto"/>
            </w:tcBorders>
            <w:shd w:val="clear" w:color="auto" w:fill="auto"/>
            <w:noWrap/>
          </w:tcPr>
          <w:p w14:paraId="132A7C82"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5</w:t>
            </w:r>
          </w:p>
        </w:tc>
      </w:tr>
      <w:tr w:rsidR="008D6DEA" w:rsidRPr="00B50CFB" w14:paraId="6697DD10"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2C0C6C1F"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Bedfordshire</w:t>
            </w:r>
          </w:p>
        </w:tc>
        <w:tc>
          <w:tcPr>
            <w:tcW w:w="1442" w:type="dxa"/>
            <w:tcBorders>
              <w:top w:val="nil"/>
              <w:left w:val="nil"/>
              <w:bottom w:val="single" w:sz="8" w:space="0" w:color="auto"/>
              <w:right w:val="single" w:sz="8" w:space="0" w:color="auto"/>
            </w:tcBorders>
            <w:shd w:val="clear" w:color="auto" w:fill="auto"/>
          </w:tcPr>
          <w:p w14:paraId="739CB7E0"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11</w:t>
            </w:r>
          </w:p>
        </w:tc>
        <w:tc>
          <w:tcPr>
            <w:tcW w:w="1500" w:type="dxa"/>
            <w:tcBorders>
              <w:top w:val="nil"/>
              <w:left w:val="nil"/>
              <w:bottom w:val="single" w:sz="8" w:space="0" w:color="auto"/>
              <w:right w:val="single" w:sz="8" w:space="0" w:color="auto"/>
            </w:tcBorders>
            <w:shd w:val="clear" w:color="auto" w:fill="auto"/>
            <w:noWrap/>
          </w:tcPr>
          <w:p w14:paraId="5E470BAD"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6</w:t>
            </w:r>
          </w:p>
        </w:tc>
      </w:tr>
      <w:tr w:rsidR="008D6DEA" w:rsidRPr="00B50CFB" w14:paraId="14CFDE63"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6B089A42"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Warwickshire</w:t>
            </w:r>
          </w:p>
        </w:tc>
        <w:tc>
          <w:tcPr>
            <w:tcW w:w="1442" w:type="dxa"/>
            <w:tcBorders>
              <w:top w:val="nil"/>
              <w:left w:val="nil"/>
              <w:bottom w:val="single" w:sz="8" w:space="0" w:color="auto"/>
              <w:right w:val="single" w:sz="8" w:space="0" w:color="auto"/>
            </w:tcBorders>
            <w:shd w:val="clear" w:color="auto" w:fill="auto"/>
          </w:tcPr>
          <w:p w14:paraId="4412C1F3"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w:t>
            </w:r>
          </w:p>
        </w:tc>
        <w:tc>
          <w:tcPr>
            <w:tcW w:w="1500" w:type="dxa"/>
            <w:tcBorders>
              <w:top w:val="nil"/>
              <w:left w:val="nil"/>
              <w:bottom w:val="single" w:sz="8" w:space="0" w:color="auto"/>
              <w:right w:val="single" w:sz="8" w:space="0" w:color="auto"/>
            </w:tcBorders>
            <w:shd w:val="clear" w:color="auto" w:fill="auto"/>
            <w:noWrap/>
          </w:tcPr>
          <w:p w14:paraId="1EA75761"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8</w:t>
            </w:r>
          </w:p>
        </w:tc>
      </w:tr>
      <w:tr w:rsidR="008D6DEA" w:rsidRPr="00B50CFB" w14:paraId="0618EC05"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5932DA5"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Hereford and Worcester</w:t>
            </w:r>
          </w:p>
        </w:tc>
        <w:tc>
          <w:tcPr>
            <w:tcW w:w="1442" w:type="dxa"/>
            <w:tcBorders>
              <w:top w:val="nil"/>
              <w:left w:val="nil"/>
              <w:bottom w:val="single" w:sz="8" w:space="0" w:color="auto"/>
              <w:right w:val="single" w:sz="8" w:space="0" w:color="auto"/>
            </w:tcBorders>
            <w:shd w:val="clear" w:color="auto" w:fill="auto"/>
          </w:tcPr>
          <w:p w14:paraId="7A4AD6D3"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9</w:t>
            </w:r>
          </w:p>
        </w:tc>
        <w:tc>
          <w:tcPr>
            <w:tcW w:w="1500" w:type="dxa"/>
            <w:tcBorders>
              <w:top w:val="nil"/>
              <w:left w:val="nil"/>
              <w:bottom w:val="single" w:sz="8" w:space="0" w:color="auto"/>
              <w:right w:val="single" w:sz="8" w:space="0" w:color="auto"/>
            </w:tcBorders>
            <w:shd w:val="clear" w:color="auto" w:fill="auto"/>
            <w:noWrap/>
          </w:tcPr>
          <w:p w14:paraId="24204C39"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10</w:t>
            </w:r>
          </w:p>
        </w:tc>
      </w:tr>
      <w:tr w:rsidR="008D6DEA" w:rsidRPr="00B50CFB" w14:paraId="094F91E5"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05232FF8"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Cambridgeshire</w:t>
            </w:r>
          </w:p>
        </w:tc>
        <w:tc>
          <w:tcPr>
            <w:tcW w:w="1442" w:type="dxa"/>
            <w:tcBorders>
              <w:top w:val="nil"/>
              <w:left w:val="nil"/>
              <w:bottom w:val="single" w:sz="8" w:space="0" w:color="auto"/>
              <w:right w:val="single" w:sz="8" w:space="0" w:color="auto"/>
            </w:tcBorders>
            <w:shd w:val="clear" w:color="auto" w:fill="auto"/>
          </w:tcPr>
          <w:p w14:paraId="31F400C1"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21</w:t>
            </w:r>
          </w:p>
        </w:tc>
        <w:tc>
          <w:tcPr>
            <w:tcW w:w="1500" w:type="dxa"/>
            <w:tcBorders>
              <w:top w:val="nil"/>
              <w:left w:val="nil"/>
              <w:bottom w:val="single" w:sz="8" w:space="0" w:color="auto"/>
              <w:right w:val="single" w:sz="8" w:space="0" w:color="auto"/>
            </w:tcBorders>
            <w:shd w:val="clear" w:color="auto" w:fill="auto"/>
            <w:noWrap/>
          </w:tcPr>
          <w:p w14:paraId="78CDC6C6"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11</w:t>
            </w:r>
          </w:p>
        </w:tc>
      </w:tr>
      <w:tr w:rsidR="008D6DEA" w:rsidRPr="00B50CFB" w14:paraId="70C49811"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4C9CAA53"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Norfolk</w:t>
            </w:r>
          </w:p>
        </w:tc>
        <w:tc>
          <w:tcPr>
            <w:tcW w:w="1442" w:type="dxa"/>
            <w:tcBorders>
              <w:top w:val="nil"/>
              <w:left w:val="nil"/>
              <w:bottom w:val="single" w:sz="8" w:space="0" w:color="auto"/>
              <w:right w:val="single" w:sz="8" w:space="0" w:color="auto"/>
            </w:tcBorders>
            <w:shd w:val="clear" w:color="auto" w:fill="auto"/>
          </w:tcPr>
          <w:p w14:paraId="313F0B78"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12</w:t>
            </w:r>
          </w:p>
        </w:tc>
        <w:tc>
          <w:tcPr>
            <w:tcW w:w="1500" w:type="dxa"/>
            <w:tcBorders>
              <w:top w:val="nil"/>
              <w:left w:val="nil"/>
              <w:bottom w:val="single" w:sz="8" w:space="0" w:color="auto"/>
              <w:right w:val="single" w:sz="8" w:space="0" w:color="auto"/>
            </w:tcBorders>
            <w:shd w:val="clear" w:color="auto" w:fill="auto"/>
            <w:noWrap/>
          </w:tcPr>
          <w:p w14:paraId="5AA7C1D9"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13</w:t>
            </w:r>
          </w:p>
        </w:tc>
      </w:tr>
      <w:tr w:rsidR="008D6DEA" w:rsidRPr="00B50CFB" w14:paraId="6864BCDC" w14:textId="77777777" w:rsidTr="008D6DEA">
        <w:trPr>
          <w:trHeight w:val="315"/>
        </w:trPr>
        <w:tc>
          <w:tcPr>
            <w:tcW w:w="2358" w:type="dxa"/>
            <w:tcBorders>
              <w:top w:val="nil"/>
              <w:left w:val="single" w:sz="8" w:space="0" w:color="auto"/>
              <w:bottom w:val="single" w:sz="8" w:space="0" w:color="auto"/>
              <w:right w:val="single" w:sz="8" w:space="0" w:color="auto"/>
            </w:tcBorders>
            <w:shd w:val="clear" w:color="auto" w:fill="auto"/>
            <w:hideMark/>
          </w:tcPr>
          <w:p w14:paraId="410AB624" w14:textId="77777777" w:rsidR="008D6DEA" w:rsidRPr="00E46E61" w:rsidRDefault="008D6DEA" w:rsidP="008D6DEA">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East Sussex</w:t>
            </w:r>
          </w:p>
        </w:tc>
        <w:tc>
          <w:tcPr>
            <w:tcW w:w="1442" w:type="dxa"/>
            <w:tcBorders>
              <w:top w:val="nil"/>
              <w:left w:val="nil"/>
              <w:bottom w:val="single" w:sz="8" w:space="0" w:color="auto"/>
              <w:right w:val="single" w:sz="8" w:space="0" w:color="auto"/>
            </w:tcBorders>
            <w:shd w:val="clear" w:color="auto" w:fill="auto"/>
          </w:tcPr>
          <w:p w14:paraId="52FA678E"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20</w:t>
            </w:r>
          </w:p>
        </w:tc>
        <w:tc>
          <w:tcPr>
            <w:tcW w:w="1500" w:type="dxa"/>
            <w:tcBorders>
              <w:top w:val="nil"/>
              <w:left w:val="nil"/>
              <w:bottom w:val="single" w:sz="8" w:space="0" w:color="auto"/>
              <w:right w:val="single" w:sz="8" w:space="0" w:color="auto"/>
            </w:tcBorders>
            <w:shd w:val="clear" w:color="auto" w:fill="auto"/>
            <w:noWrap/>
          </w:tcPr>
          <w:p w14:paraId="6B63A2AD" w14:textId="77777777" w:rsidR="008D6DEA" w:rsidRPr="00E46E61" w:rsidRDefault="008D6DEA" w:rsidP="008D6DEA">
            <w:pPr>
              <w:spacing w:after="0" w:line="240" w:lineRule="auto"/>
              <w:jc w:val="right"/>
              <w:rPr>
                <w:rFonts w:ascii="Verdana" w:eastAsia="Times New Roman" w:hAnsi="Verdana" w:cs="Calibri"/>
                <w:color w:val="000000"/>
                <w:lang w:eastAsia="en-GB"/>
              </w:rPr>
            </w:pPr>
            <w:r>
              <w:rPr>
                <w:rFonts w:ascii="Verdana" w:eastAsia="Times New Roman" w:hAnsi="Verdana" w:cs="Calibri"/>
                <w:color w:val="000000"/>
                <w:lang w:eastAsia="en-GB"/>
              </w:rPr>
              <w:t>31</w:t>
            </w:r>
          </w:p>
        </w:tc>
      </w:tr>
    </w:tbl>
    <w:p w14:paraId="356CAF18" w14:textId="6B34CB36" w:rsidR="002E7734" w:rsidRDefault="002E7734" w:rsidP="002E7734">
      <w:pPr>
        <w:rPr>
          <w:rFonts w:ascii="Verdana" w:hAnsi="Verdana"/>
          <w:highlight w:val="yellow"/>
        </w:rPr>
      </w:pPr>
    </w:p>
    <w:p w14:paraId="6364BF71" w14:textId="77777777" w:rsidR="0059718C" w:rsidRDefault="0059718C" w:rsidP="002E7734">
      <w:pPr>
        <w:rPr>
          <w:rFonts w:ascii="Verdana" w:hAnsi="Verdana"/>
          <w:highlight w:val="yellow"/>
        </w:rPr>
      </w:pPr>
    </w:p>
    <w:p w14:paraId="3769135C" w14:textId="77777777" w:rsidR="008D6DEA" w:rsidRDefault="008D6DEA" w:rsidP="002E7734">
      <w:pPr>
        <w:rPr>
          <w:rFonts w:ascii="Verdana" w:hAnsi="Verdana"/>
          <w:highlight w:val="yellow"/>
        </w:rPr>
      </w:pPr>
    </w:p>
    <w:p w14:paraId="54FEAA50" w14:textId="77777777" w:rsidR="008D6DEA" w:rsidRPr="00B50CFB" w:rsidRDefault="008D6DEA" w:rsidP="002E7734">
      <w:pPr>
        <w:rPr>
          <w:rFonts w:ascii="Verdana" w:hAnsi="Verdana"/>
          <w:highlight w:val="yellow"/>
        </w:rPr>
      </w:pPr>
    </w:p>
    <w:p w14:paraId="2585EB56" w14:textId="77777777" w:rsidR="00960AD3" w:rsidRPr="00B50CFB" w:rsidRDefault="00960AD3" w:rsidP="007814EA">
      <w:pPr>
        <w:rPr>
          <w:rFonts w:ascii="Verdana" w:hAnsi="Verdana"/>
          <w:highlight w:val="yellow"/>
        </w:rPr>
      </w:pPr>
    </w:p>
    <w:p w14:paraId="1DA1FDE3" w14:textId="77777777" w:rsidR="002E7734" w:rsidRPr="00B50CFB" w:rsidRDefault="002E7734" w:rsidP="007814EA">
      <w:pPr>
        <w:rPr>
          <w:rFonts w:ascii="Verdana" w:hAnsi="Verdana"/>
          <w:highlight w:val="yellow"/>
        </w:rPr>
      </w:pPr>
    </w:p>
    <w:p w14:paraId="6A95B76B" w14:textId="77777777" w:rsidR="002E7734" w:rsidRPr="00B50CFB" w:rsidRDefault="002E7734" w:rsidP="007814EA">
      <w:pPr>
        <w:rPr>
          <w:rFonts w:ascii="Verdana" w:hAnsi="Verdana"/>
          <w:highlight w:val="yellow"/>
        </w:rPr>
      </w:pPr>
    </w:p>
    <w:p w14:paraId="0CAA686E" w14:textId="77777777" w:rsidR="002E7734" w:rsidRPr="00791A2B" w:rsidRDefault="002E7734" w:rsidP="007814EA">
      <w:pPr>
        <w:rPr>
          <w:rFonts w:ascii="Verdana" w:hAnsi="Verdana"/>
          <w:b/>
          <w:highlight w:val="yellow"/>
        </w:rPr>
      </w:pPr>
    </w:p>
    <w:p w14:paraId="0074EE4D" w14:textId="77777777" w:rsidR="00BD6A0F" w:rsidRPr="00B50CFB" w:rsidRDefault="00BD6A0F" w:rsidP="007814EA">
      <w:pPr>
        <w:rPr>
          <w:rFonts w:ascii="Verdana" w:hAnsi="Verdana"/>
          <w:highlight w:val="yellow"/>
        </w:rPr>
      </w:pPr>
    </w:p>
    <w:p w14:paraId="20E6A524" w14:textId="77777777" w:rsidR="00BD6A0F" w:rsidRPr="00B50CFB" w:rsidRDefault="00BD6A0F" w:rsidP="007814EA">
      <w:pPr>
        <w:rPr>
          <w:rFonts w:ascii="Verdana" w:hAnsi="Verdana"/>
          <w:highlight w:val="yellow"/>
        </w:rPr>
      </w:pPr>
    </w:p>
    <w:p w14:paraId="4B5A0D27" w14:textId="77777777" w:rsidR="002E7734" w:rsidRPr="00B50CFB" w:rsidRDefault="002E7734" w:rsidP="007814EA">
      <w:pPr>
        <w:rPr>
          <w:rFonts w:ascii="Verdana" w:hAnsi="Verdana"/>
          <w:highlight w:val="yellow"/>
        </w:rPr>
      </w:pPr>
    </w:p>
    <w:p w14:paraId="58B7638D" w14:textId="77777777" w:rsidR="002E7734" w:rsidRPr="0023585C" w:rsidRDefault="002E7734" w:rsidP="007814EA">
      <w:pPr>
        <w:rPr>
          <w:rFonts w:ascii="Verdana" w:hAnsi="Verdana"/>
        </w:rPr>
      </w:pPr>
    </w:p>
    <w:p w14:paraId="0E72FA3B" w14:textId="77777777" w:rsidR="002E7734" w:rsidRPr="0023585C" w:rsidRDefault="002E7734" w:rsidP="007814EA">
      <w:pPr>
        <w:rPr>
          <w:rFonts w:ascii="Verdana" w:hAnsi="Verdana"/>
          <w:b/>
        </w:rPr>
      </w:pPr>
    </w:p>
    <w:p w14:paraId="6BF67363" w14:textId="77777777" w:rsidR="007814EA" w:rsidRPr="0023585C" w:rsidRDefault="007814EA" w:rsidP="007814EA">
      <w:pPr>
        <w:rPr>
          <w:rFonts w:ascii="Verdana" w:hAnsi="Verdana"/>
        </w:rPr>
      </w:pPr>
    </w:p>
    <w:p w14:paraId="6F132AC7" w14:textId="77777777" w:rsidR="00C646CB" w:rsidRPr="00B50CFB" w:rsidRDefault="00C646CB" w:rsidP="007814EA">
      <w:pPr>
        <w:rPr>
          <w:rFonts w:ascii="Verdana" w:hAnsi="Verdana"/>
          <w:highlight w:val="yellow"/>
        </w:rPr>
      </w:pPr>
    </w:p>
    <w:p w14:paraId="4D5D1385" w14:textId="77777777" w:rsidR="002E7734" w:rsidRPr="00B50CFB" w:rsidRDefault="002E7734" w:rsidP="007814EA">
      <w:pPr>
        <w:rPr>
          <w:rFonts w:ascii="Verdana" w:hAnsi="Verdana"/>
          <w:highlight w:val="yellow"/>
        </w:rPr>
      </w:pPr>
    </w:p>
    <w:sectPr w:rsidR="002E7734" w:rsidRPr="00B50CFB" w:rsidSect="00AC3969">
      <w:headerReference w:type="even" r:id="rId14"/>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041" w14:textId="77777777" w:rsidR="00C96B4F" w:rsidRDefault="00C96B4F" w:rsidP="00C91B5B">
      <w:pPr>
        <w:spacing w:after="0" w:line="240" w:lineRule="auto"/>
      </w:pPr>
      <w:r>
        <w:separator/>
      </w:r>
    </w:p>
  </w:endnote>
  <w:endnote w:type="continuationSeparator" w:id="0">
    <w:p w14:paraId="7314D0CE" w14:textId="77777777" w:rsidR="00C96B4F" w:rsidRDefault="00C96B4F" w:rsidP="00C9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D951" w14:textId="77777777" w:rsidR="00E67D4A" w:rsidRDefault="00E67D4A">
    <w:pPr>
      <w:pStyle w:val="Footer"/>
    </w:pPr>
  </w:p>
  <w:p w14:paraId="6D43006C" w14:textId="77777777" w:rsidR="00E67D4A" w:rsidRDefault="00E67D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71141"/>
      <w:docPartObj>
        <w:docPartGallery w:val="Page Numbers (Bottom of Page)"/>
        <w:docPartUnique/>
      </w:docPartObj>
    </w:sdtPr>
    <w:sdtEndPr>
      <w:rPr>
        <w:noProof/>
      </w:rPr>
    </w:sdtEndPr>
    <w:sdtContent>
      <w:p w14:paraId="06251D4A" w14:textId="77777777" w:rsidR="00E67D4A" w:rsidRDefault="00E67D4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8E15023" w14:textId="77777777" w:rsidR="00E67D4A" w:rsidRDefault="00E67D4A">
    <w:pPr>
      <w:pStyle w:val="Footer"/>
    </w:pPr>
  </w:p>
  <w:p w14:paraId="56CC27A7" w14:textId="77777777" w:rsidR="00E67D4A" w:rsidRDefault="00E67D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FDCF" w14:textId="77777777" w:rsidR="00C96B4F" w:rsidRDefault="00C96B4F" w:rsidP="00C91B5B">
      <w:pPr>
        <w:spacing w:after="0" w:line="240" w:lineRule="auto"/>
      </w:pPr>
      <w:r>
        <w:separator/>
      </w:r>
    </w:p>
  </w:footnote>
  <w:footnote w:type="continuationSeparator" w:id="0">
    <w:p w14:paraId="3446AE97" w14:textId="77777777" w:rsidR="00C96B4F" w:rsidRDefault="00C96B4F" w:rsidP="00C9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306" w14:textId="77777777" w:rsidR="00E67D4A" w:rsidRDefault="00E67D4A">
    <w:pPr>
      <w:pStyle w:val="Header"/>
    </w:pPr>
  </w:p>
  <w:p w14:paraId="7EE4039A" w14:textId="77777777" w:rsidR="00E67D4A" w:rsidRDefault="00E67D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AE96" w14:textId="77777777" w:rsidR="00E67D4A" w:rsidRDefault="00E67D4A">
    <w:pPr>
      <w:pStyle w:val="Header"/>
    </w:pPr>
  </w:p>
  <w:p w14:paraId="68D65880" w14:textId="77777777" w:rsidR="00E67D4A" w:rsidRDefault="00E67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F7"/>
    <w:multiLevelType w:val="hybridMultilevel"/>
    <w:tmpl w:val="613C9A00"/>
    <w:lvl w:ilvl="0" w:tplc="DDDA8B5E">
      <w:start w:val="1"/>
      <w:numFmt w:val="bullet"/>
      <w:lvlText w:val=""/>
      <w:lvlJc w:val="left"/>
      <w:pPr>
        <w:ind w:left="720" w:hanging="360"/>
      </w:pPr>
      <w:rPr>
        <w:rFonts w:ascii="Wingdings" w:hAnsi="Wingdings" w:hint="default"/>
        <w:color w:val="FFC000"/>
        <w:sz w:val="36"/>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579D"/>
    <w:multiLevelType w:val="hybridMultilevel"/>
    <w:tmpl w:val="1D8A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3A32"/>
    <w:multiLevelType w:val="hybridMultilevel"/>
    <w:tmpl w:val="C55E25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98E4512"/>
    <w:multiLevelType w:val="hybridMultilevel"/>
    <w:tmpl w:val="DFD6C2FC"/>
    <w:lvl w:ilvl="0" w:tplc="CF56ACF8">
      <w:start w:val="1"/>
      <w:numFmt w:val="bullet"/>
      <w:lvlText w:val=""/>
      <w:lvlJc w:val="left"/>
      <w:pPr>
        <w:ind w:left="720" w:hanging="360"/>
      </w:pPr>
      <w:rPr>
        <w:rFonts w:ascii="Wingdings" w:hAnsi="Wingdings" w:hint="default"/>
        <w:color w:val="92D050"/>
        <w:sz w:val="36"/>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73183"/>
    <w:multiLevelType w:val="hybridMultilevel"/>
    <w:tmpl w:val="6DC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2015"/>
    <w:multiLevelType w:val="hybridMultilevel"/>
    <w:tmpl w:val="E708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F59C6"/>
    <w:multiLevelType w:val="hybridMultilevel"/>
    <w:tmpl w:val="56FA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256CB"/>
    <w:multiLevelType w:val="hybridMultilevel"/>
    <w:tmpl w:val="F8A4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61D47"/>
    <w:multiLevelType w:val="hybridMultilevel"/>
    <w:tmpl w:val="FCE0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30349"/>
    <w:multiLevelType w:val="hybridMultilevel"/>
    <w:tmpl w:val="5194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C1650"/>
    <w:multiLevelType w:val="hybridMultilevel"/>
    <w:tmpl w:val="4AB09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47276A"/>
    <w:multiLevelType w:val="hybridMultilevel"/>
    <w:tmpl w:val="8CE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A77AB"/>
    <w:multiLevelType w:val="hybridMultilevel"/>
    <w:tmpl w:val="4FB89A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25C6598E"/>
    <w:multiLevelType w:val="hybridMultilevel"/>
    <w:tmpl w:val="DC0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24B8A"/>
    <w:multiLevelType w:val="hybridMultilevel"/>
    <w:tmpl w:val="2480A4A6"/>
    <w:lvl w:ilvl="0" w:tplc="41BA0C18">
      <w:start w:val="1"/>
      <w:numFmt w:val="bullet"/>
      <w:lvlText w:val=""/>
      <w:lvlJc w:val="left"/>
      <w:pPr>
        <w:ind w:left="720" w:hanging="360"/>
      </w:pPr>
      <w:rPr>
        <w:rFonts w:ascii="Wingdings" w:hAnsi="Wingdings" w:hint="default"/>
        <w:color w:val="7030A0"/>
        <w:sz w:val="36"/>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9622D"/>
    <w:multiLevelType w:val="multilevel"/>
    <w:tmpl w:val="33E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7314A"/>
    <w:multiLevelType w:val="hybridMultilevel"/>
    <w:tmpl w:val="4648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01872"/>
    <w:multiLevelType w:val="hybridMultilevel"/>
    <w:tmpl w:val="F850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C4265"/>
    <w:multiLevelType w:val="hybridMultilevel"/>
    <w:tmpl w:val="E0CC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47EC2"/>
    <w:multiLevelType w:val="hybridMultilevel"/>
    <w:tmpl w:val="E056D008"/>
    <w:lvl w:ilvl="0" w:tplc="8C80B232">
      <w:start w:val="1"/>
      <w:numFmt w:val="bulle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61F07"/>
    <w:multiLevelType w:val="hybridMultilevel"/>
    <w:tmpl w:val="317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03129"/>
    <w:multiLevelType w:val="hybridMultilevel"/>
    <w:tmpl w:val="58669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BB14E6"/>
    <w:multiLevelType w:val="hybridMultilevel"/>
    <w:tmpl w:val="DC7AB3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11E702E"/>
    <w:multiLevelType w:val="hybridMultilevel"/>
    <w:tmpl w:val="D9F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F7686"/>
    <w:multiLevelType w:val="hybridMultilevel"/>
    <w:tmpl w:val="906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85562"/>
    <w:multiLevelType w:val="hybridMultilevel"/>
    <w:tmpl w:val="BA54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82F3C"/>
    <w:multiLevelType w:val="hybridMultilevel"/>
    <w:tmpl w:val="ADCC11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DD828FE"/>
    <w:multiLevelType w:val="hybridMultilevel"/>
    <w:tmpl w:val="C95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A2C26"/>
    <w:multiLevelType w:val="hybridMultilevel"/>
    <w:tmpl w:val="7B20E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D20868"/>
    <w:multiLevelType w:val="hybridMultilevel"/>
    <w:tmpl w:val="D95C50CE"/>
    <w:lvl w:ilvl="0" w:tplc="A84C0B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824756"/>
    <w:multiLevelType w:val="hybridMultilevel"/>
    <w:tmpl w:val="C52837A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589227EF"/>
    <w:multiLevelType w:val="hybridMultilevel"/>
    <w:tmpl w:val="80B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B10F9"/>
    <w:multiLevelType w:val="hybridMultilevel"/>
    <w:tmpl w:val="9F8A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A3014"/>
    <w:multiLevelType w:val="hybridMultilevel"/>
    <w:tmpl w:val="694617B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4" w15:restartNumberingAfterBreak="0">
    <w:nsid w:val="63545E87"/>
    <w:multiLevelType w:val="hybridMultilevel"/>
    <w:tmpl w:val="56569678"/>
    <w:lvl w:ilvl="0" w:tplc="61B6F98A">
      <w:start w:val="1"/>
      <w:numFmt w:val="bullet"/>
      <w:lvlText w:val=""/>
      <w:lvlJc w:val="left"/>
      <w:pPr>
        <w:ind w:left="720" w:hanging="360"/>
      </w:pPr>
      <w:rPr>
        <w:rFonts w:ascii="Wingdings" w:hAnsi="Wingdings" w:hint="default"/>
        <w:color w:val="0070C0"/>
        <w:sz w:val="36"/>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8536CF"/>
    <w:multiLevelType w:val="hybridMultilevel"/>
    <w:tmpl w:val="C830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21AB0"/>
    <w:multiLevelType w:val="hybridMultilevel"/>
    <w:tmpl w:val="2CB6B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C622C7"/>
    <w:multiLevelType w:val="hybridMultilevel"/>
    <w:tmpl w:val="C4A476AC"/>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48658F"/>
    <w:multiLevelType w:val="hybridMultilevel"/>
    <w:tmpl w:val="C36C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657DB"/>
    <w:multiLevelType w:val="hybridMultilevel"/>
    <w:tmpl w:val="8C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C18D9"/>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6A356D"/>
    <w:multiLevelType w:val="hybridMultilevel"/>
    <w:tmpl w:val="B18A8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870404"/>
    <w:multiLevelType w:val="hybridMultilevel"/>
    <w:tmpl w:val="888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C264E"/>
    <w:multiLevelType w:val="multilevel"/>
    <w:tmpl w:val="6B6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344D53"/>
    <w:multiLevelType w:val="hybridMultilevel"/>
    <w:tmpl w:val="6C56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03403"/>
    <w:multiLevelType w:val="hybridMultilevel"/>
    <w:tmpl w:val="4ECA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13"/>
  </w:num>
  <w:num w:numId="4">
    <w:abstractNumId w:val="24"/>
  </w:num>
  <w:num w:numId="5">
    <w:abstractNumId w:val="37"/>
  </w:num>
  <w:num w:numId="6">
    <w:abstractNumId w:val="28"/>
  </w:num>
  <w:num w:numId="7">
    <w:abstractNumId w:val="10"/>
  </w:num>
  <w:num w:numId="8">
    <w:abstractNumId w:val="11"/>
  </w:num>
  <w:num w:numId="9">
    <w:abstractNumId w:val="9"/>
  </w:num>
  <w:num w:numId="10">
    <w:abstractNumId w:val="32"/>
  </w:num>
  <w:num w:numId="11">
    <w:abstractNumId w:val="38"/>
  </w:num>
  <w:num w:numId="12">
    <w:abstractNumId w:val="20"/>
  </w:num>
  <w:num w:numId="13">
    <w:abstractNumId w:val="44"/>
  </w:num>
  <w:num w:numId="14">
    <w:abstractNumId w:val="42"/>
  </w:num>
  <w:num w:numId="15">
    <w:abstractNumId w:val="26"/>
  </w:num>
  <w:num w:numId="16">
    <w:abstractNumId w:val="33"/>
  </w:num>
  <w:num w:numId="17">
    <w:abstractNumId w:val="7"/>
  </w:num>
  <w:num w:numId="18">
    <w:abstractNumId w:val="21"/>
  </w:num>
  <w:num w:numId="19">
    <w:abstractNumId w:val="35"/>
  </w:num>
  <w:num w:numId="20">
    <w:abstractNumId w:val="31"/>
  </w:num>
  <w:num w:numId="21">
    <w:abstractNumId w:val="23"/>
  </w:num>
  <w:num w:numId="22">
    <w:abstractNumId w:val="19"/>
  </w:num>
  <w:num w:numId="23">
    <w:abstractNumId w:val="34"/>
  </w:num>
  <w:num w:numId="24">
    <w:abstractNumId w:val="3"/>
  </w:num>
  <w:num w:numId="25">
    <w:abstractNumId w:val="0"/>
  </w:num>
  <w:num w:numId="26">
    <w:abstractNumId w:val="14"/>
  </w:num>
  <w:num w:numId="27">
    <w:abstractNumId w:val="15"/>
  </w:num>
  <w:num w:numId="28">
    <w:abstractNumId w:val="43"/>
  </w:num>
  <w:num w:numId="29">
    <w:abstractNumId w:val="29"/>
  </w:num>
  <w:num w:numId="30">
    <w:abstractNumId w:val="18"/>
  </w:num>
  <w:num w:numId="31">
    <w:abstractNumId w:val="16"/>
  </w:num>
  <w:num w:numId="32">
    <w:abstractNumId w:val="30"/>
  </w:num>
  <w:num w:numId="33">
    <w:abstractNumId w:val="45"/>
  </w:num>
  <w:num w:numId="34">
    <w:abstractNumId w:val="2"/>
  </w:num>
  <w:num w:numId="35">
    <w:abstractNumId w:val="27"/>
  </w:num>
  <w:num w:numId="36">
    <w:abstractNumId w:val="4"/>
  </w:num>
  <w:num w:numId="37">
    <w:abstractNumId w:val="1"/>
  </w:num>
  <w:num w:numId="38">
    <w:abstractNumId w:val="12"/>
  </w:num>
  <w:num w:numId="39">
    <w:abstractNumId w:val="17"/>
  </w:num>
  <w:num w:numId="40">
    <w:abstractNumId w:val="39"/>
  </w:num>
  <w:num w:numId="41">
    <w:abstractNumId w:val="22"/>
  </w:num>
  <w:num w:numId="42">
    <w:abstractNumId w:val="25"/>
  </w:num>
  <w:num w:numId="43">
    <w:abstractNumId w:val="5"/>
  </w:num>
  <w:num w:numId="44">
    <w:abstractNumId w:val="41"/>
  </w:num>
  <w:num w:numId="45">
    <w:abstractNumId w:val="36"/>
  </w:num>
  <w:num w:numId="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B1"/>
    <w:rsid w:val="00001259"/>
    <w:rsid w:val="00001DD2"/>
    <w:rsid w:val="00002D76"/>
    <w:rsid w:val="00003482"/>
    <w:rsid w:val="00003638"/>
    <w:rsid w:val="00003B70"/>
    <w:rsid w:val="00006B16"/>
    <w:rsid w:val="00007D05"/>
    <w:rsid w:val="000114C2"/>
    <w:rsid w:val="000128D5"/>
    <w:rsid w:val="00012952"/>
    <w:rsid w:val="00013490"/>
    <w:rsid w:val="00013555"/>
    <w:rsid w:val="0001454C"/>
    <w:rsid w:val="00015E9D"/>
    <w:rsid w:val="00016004"/>
    <w:rsid w:val="00017C89"/>
    <w:rsid w:val="000201A1"/>
    <w:rsid w:val="00020246"/>
    <w:rsid w:val="00020247"/>
    <w:rsid w:val="0002344C"/>
    <w:rsid w:val="000247F2"/>
    <w:rsid w:val="00030B92"/>
    <w:rsid w:val="000317DA"/>
    <w:rsid w:val="00032DE9"/>
    <w:rsid w:val="00033613"/>
    <w:rsid w:val="00033E49"/>
    <w:rsid w:val="00035B40"/>
    <w:rsid w:val="00036AEE"/>
    <w:rsid w:val="00036FA2"/>
    <w:rsid w:val="0004055F"/>
    <w:rsid w:val="00040A13"/>
    <w:rsid w:val="00040C39"/>
    <w:rsid w:val="000417D8"/>
    <w:rsid w:val="000428E3"/>
    <w:rsid w:val="00042FF1"/>
    <w:rsid w:val="00043860"/>
    <w:rsid w:val="00045D0B"/>
    <w:rsid w:val="00045F2A"/>
    <w:rsid w:val="00054D63"/>
    <w:rsid w:val="00054FF1"/>
    <w:rsid w:val="00055331"/>
    <w:rsid w:val="00055718"/>
    <w:rsid w:val="000612A8"/>
    <w:rsid w:val="000612B1"/>
    <w:rsid w:val="00061E27"/>
    <w:rsid w:val="00062889"/>
    <w:rsid w:val="00062961"/>
    <w:rsid w:val="00066139"/>
    <w:rsid w:val="00066A39"/>
    <w:rsid w:val="00066F57"/>
    <w:rsid w:val="0007144E"/>
    <w:rsid w:val="00071545"/>
    <w:rsid w:val="000718A7"/>
    <w:rsid w:val="0007195D"/>
    <w:rsid w:val="00071CCF"/>
    <w:rsid w:val="000721E7"/>
    <w:rsid w:val="00072293"/>
    <w:rsid w:val="00072924"/>
    <w:rsid w:val="00072B45"/>
    <w:rsid w:val="000737AD"/>
    <w:rsid w:val="0007393D"/>
    <w:rsid w:val="00073A29"/>
    <w:rsid w:val="000740CD"/>
    <w:rsid w:val="00074A9C"/>
    <w:rsid w:val="00074E69"/>
    <w:rsid w:val="000751E2"/>
    <w:rsid w:val="000766BF"/>
    <w:rsid w:val="00076FBC"/>
    <w:rsid w:val="0007734C"/>
    <w:rsid w:val="0008069F"/>
    <w:rsid w:val="000806A1"/>
    <w:rsid w:val="000808C9"/>
    <w:rsid w:val="00081E71"/>
    <w:rsid w:val="0008233E"/>
    <w:rsid w:val="00082DF0"/>
    <w:rsid w:val="000843CE"/>
    <w:rsid w:val="00084516"/>
    <w:rsid w:val="000869BD"/>
    <w:rsid w:val="00087215"/>
    <w:rsid w:val="00090ABF"/>
    <w:rsid w:val="00090FB9"/>
    <w:rsid w:val="00091082"/>
    <w:rsid w:val="00092820"/>
    <w:rsid w:val="00092FCB"/>
    <w:rsid w:val="00095BEC"/>
    <w:rsid w:val="00095D87"/>
    <w:rsid w:val="0009637F"/>
    <w:rsid w:val="000965D2"/>
    <w:rsid w:val="000967A5"/>
    <w:rsid w:val="000A0849"/>
    <w:rsid w:val="000A0DAF"/>
    <w:rsid w:val="000A121C"/>
    <w:rsid w:val="000A1D98"/>
    <w:rsid w:val="000A2A6B"/>
    <w:rsid w:val="000A2B9B"/>
    <w:rsid w:val="000A411F"/>
    <w:rsid w:val="000A4121"/>
    <w:rsid w:val="000A4B02"/>
    <w:rsid w:val="000A507B"/>
    <w:rsid w:val="000A6332"/>
    <w:rsid w:val="000A6746"/>
    <w:rsid w:val="000A728A"/>
    <w:rsid w:val="000A78A5"/>
    <w:rsid w:val="000B0B2B"/>
    <w:rsid w:val="000B0DE9"/>
    <w:rsid w:val="000B25EF"/>
    <w:rsid w:val="000B2B06"/>
    <w:rsid w:val="000B2D7C"/>
    <w:rsid w:val="000B2DB1"/>
    <w:rsid w:val="000B30A9"/>
    <w:rsid w:val="000B5404"/>
    <w:rsid w:val="000B628F"/>
    <w:rsid w:val="000B79F6"/>
    <w:rsid w:val="000B7AC5"/>
    <w:rsid w:val="000B7F64"/>
    <w:rsid w:val="000C09DC"/>
    <w:rsid w:val="000C0E7A"/>
    <w:rsid w:val="000C1123"/>
    <w:rsid w:val="000C1B78"/>
    <w:rsid w:val="000C319D"/>
    <w:rsid w:val="000C4489"/>
    <w:rsid w:val="000C472B"/>
    <w:rsid w:val="000C5735"/>
    <w:rsid w:val="000C5BA1"/>
    <w:rsid w:val="000C6881"/>
    <w:rsid w:val="000C697E"/>
    <w:rsid w:val="000C6BC7"/>
    <w:rsid w:val="000C6BD4"/>
    <w:rsid w:val="000C788C"/>
    <w:rsid w:val="000C7A30"/>
    <w:rsid w:val="000C7ED6"/>
    <w:rsid w:val="000D1921"/>
    <w:rsid w:val="000D2451"/>
    <w:rsid w:val="000D691A"/>
    <w:rsid w:val="000D6D04"/>
    <w:rsid w:val="000D6E78"/>
    <w:rsid w:val="000E0BD0"/>
    <w:rsid w:val="000E20E1"/>
    <w:rsid w:val="000E23F8"/>
    <w:rsid w:val="000E2B87"/>
    <w:rsid w:val="000E3929"/>
    <w:rsid w:val="000E5084"/>
    <w:rsid w:val="000E6672"/>
    <w:rsid w:val="000E754F"/>
    <w:rsid w:val="000F0537"/>
    <w:rsid w:val="000F0626"/>
    <w:rsid w:val="000F0BD9"/>
    <w:rsid w:val="000F1286"/>
    <w:rsid w:val="000F31C3"/>
    <w:rsid w:val="000F352F"/>
    <w:rsid w:val="000F3D1C"/>
    <w:rsid w:val="000F5ABE"/>
    <w:rsid w:val="000F5FF7"/>
    <w:rsid w:val="000F6DF0"/>
    <w:rsid w:val="00101AED"/>
    <w:rsid w:val="00102D72"/>
    <w:rsid w:val="001034EA"/>
    <w:rsid w:val="00103EF6"/>
    <w:rsid w:val="001041FB"/>
    <w:rsid w:val="001060B0"/>
    <w:rsid w:val="00106587"/>
    <w:rsid w:val="0010712C"/>
    <w:rsid w:val="00110002"/>
    <w:rsid w:val="00112F6A"/>
    <w:rsid w:val="0011415F"/>
    <w:rsid w:val="00115F7C"/>
    <w:rsid w:val="00117068"/>
    <w:rsid w:val="001175E0"/>
    <w:rsid w:val="00124015"/>
    <w:rsid w:val="00124274"/>
    <w:rsid w:val="00124507"/>
    <w:rsid w:val="00124BCA"/>
    <w:rsid w:val="001254A9"/>
    <w:rsid w:val="0012626F"/>
    <w:rsid w:val="001270DC"/>
    <w:rsid w:val="001301A1"/>
    <w:rsid w:val="00130B1E"/>
    <w:rsid w:val="00130C57"/>
    <w:rsid w:val="00130E6A"/>
    <w:rsid w:val="0013304B"/>
    <w:rsid w:val="00133FFB"/>
    <w:rsid w:val="00134E92"/>
    <w:rsid w:val="001351DB"/>
    <w:rsid w:val="00136A0C"/>
    <w:rsid w:val="0013733E"/>
    <w:rsid w:val="00137CEF"/>
    <w:rsid w:val="00140854"/>
    <w:rsid w:val="00143CF0"/>
    <w:rsid w:val="00145145"/>
    <w:rsid w:val="00145CE4"/>
    <w:rsid w:val="00145F19"/>
    <w:rsid w:val="00147CE1"/>
    <w:rsid w:val="00150881"/>
    <w:rsid w:val="00150AE7"/>
    <w:rsid w:val="001511E8"/>
    <w:rsid w:val="00151B4E"/>
    <w:rsid w:val="00151DF2"/>
    <w:rsid w:val="00152B2B"/>
    <w:rsid w:val="00152E4F"/>
    <w:rsid w:val="00153375"/>
    <w:rsid w:val="001539E6"/>
    <w:rsid w:val="00154B21"/>
    <w:rsid w:val="00154CBA"/>
    <w:rsid w:val="00154D3E"/>
    <w:rsid w:val="00155B9F"/>
    <w:rsid w:val="00156088"/>
    <w:rsid w:val="00156D75"/>
    <w:rsid w:val="00156FA4"/>
    <w:rsid w:val="00162D70"/>
    <w:rsid w:val="001635A2"/>
    <w:rsid w:val="00166077"/>
    <w:rsid w:val="001668BE"/>
    <w:rsid w:val="00167466"/>
    <w:rsid w:val="00170727"/>
    <w:rsid w:val="0017147B"/>
    <w:rsid w:val="0017375B"/>
    <w:rsid w:val="0017522A"/>
    <w:rsid w:val="001757FB"/>
    <w:rsid w:val="00175F17"/>
    <w:rsid w:val="00176A1D"/>
    <w:rsid w:val="00176D0E"/>
    <w:rsid w:val="001776AE"/>
    <w:rsid w:val="00177AF4"/>
    <w:rsid w:val="00180FD2"/>
    <w:rsid w:val="0018124F"/>
    <w:rsid w:val="00182387"/>
    <w:rsid w:val="00182B8D"/>
    <w:rsid w:val="00182D86"/>
    <w:rsid w:val="00182F6E"/>
    <w:rsid w:val="0018363D"/>
    <w:rsid w:val="001839BB"/>
    <w:rsid w:val="00184FD1"/>
    <w:rsid w:val="0018547A"/>
    <w:rsid w:val="00186086"/>
    <w:rsid w:val="00186399"/>
    <w:rsid w:val="0018680C"/>
    <w:rsid w:val="001909F5"/>
    <w:rsid w:val="00194E4B"/>
    <w:rsid w:val="001965E3"/>
    <w:rsid w:val="00196DFC"/>
    <w:rsid w:val="001A02A4"/>
    <w:rsid w:val="001A0A8E"/>
    <w:rsid w:val="001A1473"/>
    <w:rsid w:val="001A2622"/>
    <w:rsid w:val="001A2639"/>
    <w:rsid w:val="001A2B63"/>
    <w:rsid w:val="001A2E0A"/>
    <w:rsid w:val="001A3EDB"/>
    <w:rsid w:val="001A5306"/>
    <w:rsid w:val="001A550C"/>
    <w:rsid w:val="001A59B5"/>
    <w:rsid w:val="001A6703"/>
    <w:rsid w:val="001B2934"/>
    <w:rsid w:val="001B328D"/>
    <w:rsid w:val="001B3566"/>
    <w:rsid w:val="001B3772"/>
    <w:rsid w:val="001B52FA"/>
    <w:rsid w:val="001B57BD"/>
    <w:rsid w:val="001B60C7"/>
    <w:rsid w:val="001B66B9"/>
    <w:rsid w:val="001B7AB6"/>
    <w:rsid w:val="001B7F7B"/>
    <w:rsid w:val="001C0774"/>
    <w:rsid w:val="001C14C0"/>
    <w:rsid w:val="001C15E7"/>
    <w:rsid w:val="001C179E"/>
    <w:rsid w:val="001C1F46"/>
    <w:rsid w:val="001C21A2"/>
    <w:rsid w:val="001C2547"/>
    <w:rsid w:val="001C293A"/>
    <w:rsid w:val="001C41F3"/>
    <w:rsid w:val="001C43B4"/>
    <w:rsid w:val="001C57BA"/>
    <w:rsid w:val="001C5D4C"/>
    <w:rsid w:val="001C6A4B"/>
    <w:rsid w:val="001C6E9A"/>
    <w:rsid w:val="001C723E"/>
    <w:rsid w:val="001D08F7"/>
    <w:rsid w:val="001D0E4B"/>
    <w:rsid w:val="001D1B71"/>
    <w:rsid w:val="001D3524"/>
    <w:rsid w:val="001D35E6"/>
    <w:rsid w:val="001D3EE5"/>
    <w:rsid w:val="001D433D"/>
    <w:rsid w:val="001D4C44"/>
    <w:rsid w:val="001D5DE9"/>
    <w:rsid w:val="001E10A6"/>
    <w:rsid w:val="001E1551"/>
    <w:rsid w:val="001E1774"/>
    <w:rsid w:val="001E204D"/>
    <w:rsid w:val="001E214B"/>
    <w:rsid w:val="001E2A9D"/>
    <w:rsid w:val="001E33DE"/>
    <w:rsid w:val="001E350F"/>
    <w:rsid w:val="001E3C5B"/>
    <w:rsid w:val="001E403D"/>
    <w:rsid w:val="001E55A0"/>
    <w:rsid w:val="001E5840"/>
    <w:rsid w:val="001E5A94"/>
    <w:rsid w:val="001F0E0B"/>
    <w:rsid w:val="001F0FF0"/>
    <w:rsid w:val="001F1150"/>
    <w:rsid w:val="001F241F"/>
    <w:rsid w:val="001F277B"/>
    <w:rsid w:val="001F3BBD"/>
    <w:rsid w:val="001F3C93"/>
    <w:rsid w:val="001F3DC2"/>
    <w:rsid w:val="001F4B67"/>
    <w:rsid w:val="001F6C5F"/>
    <w:rsid w:val="002001F6"/>
    <w:rsid w:val="002005FF"/>
    <w:rsid w:val="00200968"/>
    <w:rsid w:val="00201159"/>
    <w:rsid w:val="00202D84"/>
    <w:rsid w:val="00203191"/>
    <w:rsid w:val="00203E72"/>
    <w:rsid w:val="0020530D"/>
    <w:rsid w:val="00205908"/>
    <w:rsid w:val="00205B06"/>
    <w:rsid w:val="0020682C"/>
    <w:rsid w:val="002072B9"/>
    <w:rsid w:val="002100A8"/>
    <w:rsid w:val="00211ACF"/>
    <w:rsid w:val="002123AC"/>
    <w:rsid w:val="00213747"/>
    <w:rsid w:val="0021411F"/>
    <w:rsid w:val="0021442C"/>
    <w:rsid w:val="002159BE"/>
    <w:rsid w:val="00216643"/>
    <w:rsid w:val="002169EE"/>
    <w:rsid w:val="00216A2F"/>
    <w:rsid w:val="00216C44"/>
    <w:rsid w:val="00220243"/>
    <w:rsid w:val="00220385"/>
    <w:rsid w:val="00220433"/>
    <w:rsid w:val="00220AF5"/>
    <w:rsid w:val="00220B60"/>
    <w:rsid w:val="00222065"/>
    <w:rsid w:val="0022254F"/>
    <w:rsid w:val="002228CC"/>
    <w:rsid w:val="00222C4E"/>
    <w:rsid w:val="002230A0"/>
    <w:rsid w:val="00223BD3"/>
    <w:rsid w:val="00224315"/>
    <w:rsid w:val="00224D88"/>
    <w:rsid w:val="00226ACB"/>
    <w:rsid w:val="0022718A"/>
    <w:rsid w:val="002273C1"/>
    <w:rsid w:val="002277D1"/>
    <w:rsid w:val="00227AB0"/>
    <w:rsid w:val="002300A0"/>
    <w:rsid w:val="00230647"/>
    <w:rsid w:val="00230B42"/>
    <w:rsid w:val="00230DAB"/>
    <w:rsid w:val="00230E9A"/>
    <w:rsid w:val="00230F5F"/>
    <w:rsid w:val="002314F9"/>
    <w:rsid w:val="00231716"/>
    <w:rsid w:val="00232695"/>
    <w:rsid w:val="002332BB"/>
    <w:rsid w:val="00233461"/>
    <w:rsid w:val="00233983"/>
    <w:rsid w:val="00235577"/>
    <w:rsid w:val="0023585C"/>
    <w:rsid w:val="002368B0"/>
    <w:rsid w:val="00241AC2"/>
    <w:rsid w:val="002430C9"/>
    <w:rsid w:val="00243B52"/>
    <w:rsid w:val="00244C70"/>
    <w:rsid w:val="002457AA"/>
    <w:rsid w:val="002469C4"/>
    <w:rsid w:val="00246F25"/>
    <w:rsid w:val="002470E4"/>
    <w:rsid w:val="00247367"/>
    <w:rsid w:val="00247B33"/>
    <w:rsid w:val="00247E05"/>
    <w:rsid w:val="00252356"/>
    <w:rsid w:val="002523BB"/>
    <w:rsid w:val="00252603"/>
    <w:rsid w:val="00253410"/>
    <w:rsid w:val="00255219"/>
    <w:rsid w:val="00255767"/>
    <w:rsid w:val="00255913"/>
    <w:rsid w:val="00255F48"/>
    <w:rsid w:val="0025637F"/>
    <w:rsid w:val="0025673F"/>
    <w:rsid w:val="00256AFE"/>
    <w:rsid w:val="0026026B"/>
    <w:rsid w:val="00261B09"/>
    <w:rsid w:val="002627AE"/>
    <w:rsid w:val="00263827"/>
    <w:rsid w:val="00264DF1"/>
    <w:rsid w:val="00265150"/>
    <w:rsid w:val="00265594"/>
    <w:rsid w:val="00266102"/>
    <w:rsid w:val="00267020"/>
    <w:rsid w:val="002704DD"/>
    <w:rsid w:val="00270D07"/>
    <w:rsid w:val="00271CF7"/>
    <w:rsid w:val="00273DC6"/>
    <w:rsid w:val="00274669"/>
    <w:rsid w:val="00274D3F"/>
    <w:rsid w:val="00275029"/>
    <w:rsid w:val="0027614E"/>
    <w:rsid w:val="00277321"/>
    <w:rsid w:val="002804FD"/>
    <w:rsid w:val="0028054F"/>
    <w:rsid w:val="00280A19"/>
    <w:rsid w:val="00281648"/>
    <w:rsid w:val="00281CEC"/>
    <w:rsid w:val="00281D0F"/>
    <w:rsid w:val="002822F8"/>
    <w:rsid w:val="00283503"/>
    <w:rsid w:val="00283983"/>
    <w:rsid w:val="00284AF5"/>
    <w:rsid w:val="00284EEE"/>
    <w:rsid w:val="00284F00"/>
    <w:rsid w:val="002854EE"/>
    <w:rsid w:val="002856B9"/>
    <w:rsid w:val="00285D99"/>
    <w:rsid w:val="00285E39"/>
    <w:rsid w:val="0028646A"/>
    <w:rsid w:val="00287940"/>
    <w:rsid w:val="0029034A"/>
    <w:rsid w:val="00290C9D"/>
    <w:rsid w:val="00291B1A"/>
    <w:rsid w:val="00291CEC"/>
    <w:rsid w:val="00292D8C"/>
    <w:rsid w:val="002939E8"/>
    <w:rsid w:val="00295581"/>
    <w:rsid w:val="00296012"/>
    <w:rsid w:val="0029772C"/>
    <w:rsid w:val="002A03E8"/>
    <w:rsid w:val="002A04A0"/>
    <w:rsid w:val="002A076D"/>
    <w:rsid w:val="002A20E2"/>
    <w:rsid w:val="002A266D"/>
    <w:rsid w:val="002A2A30"/>
    <w:rsid w:val="002A3609"/>
    <w:rsid w:val="002A367A"/>
    <w:rsid w:val="002A41CA"/>
    <w:rsid w:val="002A4861"/>
    <w:rsid w:val="002A5E0D"/>
    <w:rsid w:val="002A5F25"/>
    <w:rsid w:val="002B0561"/>
    <w:rsid w:val="002B15C5"/>
    <w:rsid w:val="002B19DD"/>
    <w:rsid w:val="002B1E64"/>
    <w:rsid w:val="002B3D4A"/>
    <w:rsid w:val="002B44D5"/>
    <w:rsid w:val="002B492E"/>
    <w:rsid w:val="002B4D9B"/>
    <w:rsid w:val="002B5569"/>
    <w:rsid w:val="002B6179"/>
    <w:rsid w:val="002B6C1F"/>
    <w:rsid w:val="002B773B"/>
    <w:rsid w:val="002B7954"/>
    <w:rsid w:val="002C451B"/>
    <w:rsid w:val="002C4D14"/>
    <w:rsid w:val="002C64BA"/>
    <w:rsid w:val="002C6FFA"/>
    <w:rsid w:val="002D05A4"/>
    <w:rsid w:val="002D1290"/>
    <w:rsid w:val="002D220B"/>
    <w:rsid w:val="002D382C"/>
    <w:rsid w:val="002D4861"/>
    <w:rsid w:val="002D5309"/>
    <w:rsid w:val="002D60FB"/>
    <w:rsid w:val="002D6222"/>
    <w:rsid w:val="002D69E1"/>
    <w:rsid w:val="002D75A6"/>
    <w:rsid w:val="002E0554"/>
    <w:rsid w:val="002E060F"/>
    <w:rsid w:val="002E12B0"/>
    <w:rsid w:val="002E176A"/>
    <w:rsid w:val="002E188F"/>
    <w:rsid w:val="002E3B9A"/>
    <w:rsid w:val="002E3E07"/>
    <w:rsid w:val="002E55F6"/>
    <w:rsid w:val="002E608F"/>
    <w:rsid w:val="002E6497"/>
    <w:rsid w:val="002E6917"/>
    <w:rsid w:val="002E6FC2"/>
    <w:rsid w:val="002E76CC"/>
    <w:rsid w:val="002E7734"/>
    <w:rsid w:val="002F2101"/>
    <w:rsid w:val="002F365D"/>
    <w:rsid w:val="002F511D"/>
    <w:rsid w:val="002F6157"/>
    <w:rsid w:val="002F66FC"/>
    <w:rsid w:val="002F6E6F"/>
    <w:rsid w:val="002F7086"/>
    <w:rsid w:val="002F7313"/>
    <w:rsid w:val="002F7A0E"/>
    <w:rsid w:val="002F7F2D"/>
    <w:rsid w:val="003011B6"/>
    <w:rsid w:val="00301480"/>
    <w:rsid w:val="00301BB1"/>
    <w:rsid w:val="00301EC0"/>
    <w:rsid w:val="00302F78"/>
    <w:rsid w:val="00303155"/>
    <w:rsid w:val="00303B61"/>
    <w:rsid w:val="00304076"/>
    <w:rsid w:val="00304590"/>
    <w:rsid w:val="003047AC"/>
    <w:rsid w:val="00304FF6"/>
    <w:rsid w:val="003066FC"/>
    <w:rsid w:val="00306C05"/>
    <w:rsid w:val="00307C7E"/>
    <w:rsid w:val="00310AB1"/>
    <w:rsid w:val="00311405"/>
    <w:rsid w:val="00311E21"/>
    <w:rsid w:val="0031255D"/>
    <w:rsid w:val="00312713"/>
    <w:rsid w:val="0031318D"/>
    <w:rsid w:val="00313F08"/>
    <w:rsid w:val="00315358"/>
    <w:rsid w:val="0031577E"/>
    <w:rsid w:val="00315DCC"/>
    <w:rsid w:val="003178DD"/>
    <w:rsid w:val="003217CC"/>
    <w:rsid w:val="003226A5"/>
    <w:rsid w:val="003226B2"/>
    <w:rsid w:val="00323310"/>
    <w:rsid w:val="0032334A"/>
    <w:rsid w:val="00323EF4"/>
    <w:rsid w:val="00323F98"/>
    <w:rsid w:val="003242E0"/>
    <w:rsid w:val="003242FD"/>
    <w:rsid w:val="00324650"/>
    <w:rsid w:val="00324EA4"/>
    <w:rsid w:val="003251A4"/>
    <w:rsid w:val="00327DD6"/>
    <w:rsid w:val="00330B36"/>
    <w:rsid w:val="0033158B"/>
    <w:rsid w:val="0033171D"/>
    <w:rsid w:val="00331E77"/>
    <w:rsid w:val="00333942"/>
    <w:rsid w:val="00333D3A"/>
    <w:rsid w:val="00333F1D"/>
    <w:rsid w:val="003347E5"/>
    <w:rsid w:val="003360A7"/>
    <w:rsid w:val="00336495"/>
    <w:rsid w:val="00337049"/>
    <w:rsid w:val="003370C4"/>
    <w:rsid w:val="0034063E"/>
    <w:rsid w:val="00341EE0"/>
    <w:rsid w:val="00342AB4"/>
    <w:rsid w:val="00342B0B"/>
    <w:rsid w:val="00342CB9"/>
    <w:rsid w:val="00343C8C"/>
    <w:rsid w:val="003441F2"/>
    <w:rsid w:val="0034637D"/>
    <w:rsid w:val="003469C5"/>
    <w:rsid w:val="003512BE"/>
    <w:rsid w:val="00351F34"/>
    <w:rsid w:val="003537A2"/>
    <w:rsid w:val="00354832"/>
    <w:rsid w:val="00356660"/>
    <w:rsid w:val="003567D3"/>
    <w:rsid w:val="00356AE3"/>
    <w:rsid w:val="00357131"/>
    <w:rsid w:val="0035735A"/>
    <w:rsid w:val="003577EC"/>
    <w:rsid w:val="003608DA"/>
    <w:rsid w:val="00361095"/>
    <w:rsid w:val="00361B17"/>
    <w:rsid w:val="0036224D"/>
    <w:rsid w:val="00362487"/>
    <w:rsid w:val="00363F21"/>
    <w:rsid w:val="00364690"/>
    <w:rsid w:val="00364B4E"/>
    <w:rsid w:val="00366F40"/>
    <w:rsid w:val="00367560"/>
    <w:rsid w:val="003717C5"/>
    <w:rsid w:val="00371ECA"/>
    <w:rsid w:val="00372207"/>
    <w:rsid w:val="003738D6"/>
    <w:rsid w:val="003758F7"/>
    <w:rsid w:val="00375D0D"/>
    <w:rsid w:val="00375F1F"/>
    <w:rsid w:val="00380B7A"/>
    <w:rsid w:val="00381C6B"/>
    <w:rsid w:val="0038306C"/>
    <w:rsid w:val="00383D59"/>
    <w:rsid w:val="0038408E"/>
    <w:rsid w:val="00384A52"/>
    <w:rsid w:val="003857CA"/>
    <w:rsid w:val="0038637C"/>
    <w:rsid w:val="00386E56"/>
    <w:rsid w:val="00387104"/>
    <w:rsid w:val="0038712B"/>
    <w:rsid w:val="0038762C"/>
    <w:rsid w:val="00387E93"/>
    <w:rsid w:val="00390079"/>
    <w:rsid w:val="00391628"/>
    <w:rsid w:val="00392AE1"/>
    <w:rsid w:val="00394B61"/>
    <w:rsid w:val="00394C76"/>
    <w:rsid w:val="003953F4"/>
    <w:rsid w:val="00395E2C"/>
    <w:rsid w:val="00396A5E"/>
    <w:rsid w:val="00397A2A"/>
    <w:rsid w:val="003A0088"/>
    <w:rsid w:val="003A1DFC"/>
    <w:rsid w:val="003A2177"/>
    <w:rsid w:val="003A2454"/>
    <w:rsid w:val="003A24C6"/>
    <w:rsid w:val="003A27D7"/>
    <w:rsid w:val="003A2CAD"/>
    <w:rsid w:val="003A306A"/>
    <w:rsid w:val="003A4180"/>
    <w:rsid w:val="003A4509"/>
    <w:rsid w:val="003A465A"/>
    <w:rsid w:val="003A50ED"/>
    <w:rsid w:val="003A59F3"/>
    <w:rsid w:val="003A7506"/>
    <w:rsid w:val="003A7D14"/>
    <w:rsid w:val="003A7D1A"/>
    <w:rsid w:val="003B076D"/>
    <w:rsid w:val="003B127F"/>
    <w:rsid w:val="003B1631"/>
    <w:rsid w:val="003B266B"/>
    <w:rsid w:val="003B269A"/>
    <w:rsid w:val="003B2992"/>
    <w:rsid w:val="003B2EAD"/>
    <w:rsid w:val="003B5615"/>
    <w:rsid w:val="003B5C69"/>
    <w:rsid w:val="003B5ED9"/>
    <w:rsid w:val="003B659D"/>
    <w:rsid w:val="003B6BF6"/>
    <w:rsid w:val="003B71C5"/>
    <w:rsid w:val="003B7A03"/>
    <w:rsid w:val="003C1322"/>
    <w:rsid w:val="003C155D"/>
    <w:rsid w:val="003C1A89"/>
    <w:rsid w:val="003C2B2B"/>
    <w:rsid w:val="003C3A5B"/>
    <w:rsid w:val="003C3E47"/>
    <w:rsid w:val="003C4337"/>
    <w:rsid w:val="003C46C2"/>
    <w:rsid w:val="003C51CF"/>
    <w:rsid w:val="003C53FD"/>
    <w:rsid w:val="003C558A"/>
    <w:rsid w:val="003C6030"/>
    <w:rsid w:val="003C6772"/>
    <w:rsid w:val="003D0E94"/>
    <w:rsid w:val="003D1035"/>
    <w:rsid w:val="003D43C3"/>
    <w:rsid w:val="003D443B"/>
    <w:rsid w:val="003D5166"/>
    <w:rsid w:val="003D5EA8"/>
    <w:rsid w:val="003D76CF"/>
    <w:rsid w:val="003D794C"/>
    <w:rsid w:val="003D79A5"/>
    <w:rsid w:val="003E16E5"/>
    <w:rsid w:val="003E22F3"/>
    <w:rsid w:val="003E2461"/>
    <w:rsid w:val="003E2954"/>
    <w:rsid w:val="003E3542"/>
    <w:rsid w:val="003E35A8"/>
    <w:rsid w:val="003E3B88"/>
    <w:rsid w:val="003E3C20"/>
    <w:rsid w:val="003E3D85"/>
    <w:rsid w:val="003E4F8D"/>
    <w:rsid w:val="003E50D5"/>
    <w:rsid w:val="003E5670"/>
    <w:rsid w:val="003E5AA7"/>
    <w:rsid w:val="003E7173"/>
    <w:rsid w:val="003F0555"/>
    <w:rsid w:val="003F080F"/>
    <w:rsid w:val="003F4949"/>
    <w:rsid w:val="003F552A"/>
    <w:rsid w:val="003F6D12"/>
    <w:rsid w:val="003F6ED7"/>
    <w:rsid w:val="00400807"/>
    <w:rsid w:val="004009C3"/>
    <w:rsid w:val="00405014"/>
    <w:rsid w:val="00405646"/>
    <w:rsid w:val="0040649F"/>
    <w:rsid w:val="004064AB"/>
    <w:rsid w:val="004069B3"/>
    <w:rsid w:val="00407945"/>
    <w:rsid w:val="00410B0F"/>
    <w:rsid w:val="00411EDC"/>
    <w:rsid w:val="00412D68"/>
    <w:rsid w:val="00414557"/>
    <w:rsid w:val="004159A3"/>
    <w:rsid w:val="00415BA7"/>
    <w:rsid w:val="00415CA2"/>
    <w:rsid w:val="00416A6C"/>
    <w:rsid w:val="00417D78"/>
    <w:rsid w:val="004201BE"/>
    <w:rsid w:val="0042024E"/>
    <w:rsid w:val="004218AF"/>
    <w:rsid w:val="00422205"/>
    <w:rsid w:val="00423367"/>
    <w:rsid w:val="00423D82"/>
    <w:rsid w:val="00424AE6"/>
    <w:rsid w:val="004254FA"/>
    <w:rsid w:val="00425520"/>
    <w:rsid w:val="004258BB"/>
    <w:rsid w:val="00425EFC"/>
    <w:rsid w:val="004269D7"/>
    <w:rsid w:val="00426E08"/>
    <w:rsid w:val="0042764F"/>
    <w:rsid w:val="00430010"/>
    <w:rsid w:val="004300A1"/>
    <w:rsid w:val="00432755"/>
    <w:rsid w:val="00432A8D"/>
    <w:rsid w:val="00432EAA"/>
    <w:rsid w:val="00433027"/>
    <w:rsid w:val="004330D4"/>
    <w:rsid w:val="0043344B"/>
    <w:rsid w:val="00435E13"/>
    <w:rsid w:val="004363D2"/>
    <w:rsid w:val="004374BB"/>
    <w:rsid w:val="0044186B"/>
    <w:rsid w:val="00441A35"/>
    <w:rsid w:val="00442238"/>
    <w:rsid w:val="004422C2"/>
    <w:rsid w:val="00442867"/>
    <w:rsid w:val="004437A8"/>
    <w:rsid w:val="0044505E"/>
    <w:rsid w:val="004471F2"/>
    <w:rsid w:val="00450C6B"/>
    <w:rsid w:val="00451B25"/>
    <w:rsid w:val="004530CC"/>
    <w:rsid w:val="00454447"/>
    <w:rsid w:val="0045535D"/>
    <w:rsid w:val="0045626D"/>
    <w:rsid w:val="004568B4"/>
    <w:rsid w:val="004577FD"/>
    <w:rsid w:val="0045785B"/>
    <w:rsid w:val="00457E6F"/>
    <w:rsid w:val="00460110"/>
    <w:rsid w:val="00460C49"/>
    <w:rsid w:val="004616BE"/>
    <w:rsid w:val="0046182E"/>
    <w:rsid w:val="00461D2D"/>
    <w:rsid w:val="00463C7A"/>
    <w:rsid w:val="00464392"/>
    <w:rsid w:val="0046599D"/>
    <w:rsid w:val="00465DE9"/>
    <w:rsid w:val="00466112"/>
    <w:rsid w:val="0046690D"/>
    <w:rsid w:val="00466ED9"/>
    <w:rsid w:val="00467F08"/>
    <w:rsid w:val="00470209"/>
    <w:rsid w:val="00470D7B"/>
    <w:rsid w:val="00470F01"/>
    <w:rsid w:val="00471528"/>
    <w:rsid w:val="00472532"/>
    <w:rsid w:val="004725A4"/>
    <w:rsid w:val="00472782"/>
    <w:rsid w:val="0047302D"/>
    <w:rsid w:val="00473969"/>
    <w:rsid w:val="00473A6D"/>
    <w:rsid w:val="004744FB"/>
    <w:rsid w:val="00474A88"/>
    <w:rsid w:val="00475514"/>
    <w:rsid w:val="0047643E"/>
    <w:rsid w:val="004766C4"/>
    <w:rsid w:val="004772CA"/>
    <w:rsid w:val="00477492"/>
    <w:rsid w:val="004778FC"/>
    <w:rsid w:val="00477D06"/>
    <w:rsid w:val="00480058"/>
    <w:rsid w:val="00480481"/>
    <w:rsid w:val="004810F4"/>
    <w:rsid w:val="00481F7D"/>
    <w:rsid w:val="004821F2"/>
    <w:rsid w:val="004829F2"/>
    <w:rsid w:val="00482CF3"/>
    <w:rsid w:val="00483E08"/>
    <w:rsid w:val="00484228"/>
    <w:rsid w:val="0048532E"/>
    <w:rsid w:val="00486023"/>
    <w:rsid w:val="00486A7B"/>
    <w:rsid w:val="00487481"/>
    <w:rsid w:val="00491BF6"/>
    <w:rsid w:val="004926C6"/>
    <w:rsid w:val="00492F92"/>
    <w:rsid w:val="00493759"/>
    <w:rsid w:val="004946DC"/>
    <w:rsid w:val="004959AD"/>
    <w:rsid w:val="004960B1"/>
    <w:rsid w:val="004973ED"/>
    <w:rsid w:val="004A0939"/>
    <w:rsid w:val="004A0B92"/>
    <w:rsid w:val="004A10D2"/>
    <w:rsid w:val="004A12A8"/>
    <w:rsid w:val="004A1769"/>
    <w:rsid w:val="004A28DE"/>
    <w:rsid w:val="004A2F94"/>
    <w:rsid w:val="004A32D5"/>
    <w:rsid w:val="004A3D82"/>
    <w:rsid w:val="004A5292"/>
    <w:rsid w:val="004A5A3A"/>
    <w:rsid w:val="004A6EF3"/>
    <w:rsid w:val="004A7FC3"/>
    <w:rsid w:val="004B095C"/>
    <w:rsid w:val="004B0CD7"/>
    <w:rsid w:val="004B3823"/>
    <w:rsid w:val="004B5ED5"/>
    <w:rsid w:val="004B640A"/>
    <w:rsid w:val="004C1387"/>
    <w:rsid w:val="004C22C6"/>
    <w:rsid w:val="004C2B33"/>
    <w:rsid w:val="004C2CD1"/>
    <w:rsid w:val="004C52FC"/>
    <w:rsid w:val="004C56BA"/>
    <w:rsid w:val="004C5B28"/>
    <w:rsid w:val="004C71EA"/>
    <w:rsid w:val="004C79DA"/>
    <w:rsid w:val="004D0620"/>
    <w:rsid w:val="004D1294"/>
    <w:rsid w:val="004D2147"/>
    <w:rsid w:val="004D2796"/>
    <w:rsid w:val="004D30AA"/>
    <w:rsid w:val="004D3AC8"/>
    <w:rsid w:val="004D48A2"/>
    <w:rsid w:val="004D6BA8"/>
    <w:rsid w:val="004D72BD"/>
    <w:rsid w:val="004D7DE3"/>
    <w:rsid w:val="004E1B35"/>
    <w:rsid w:val="004E2368"/>
    <w:rsid w:val="004E2689"/>
    <w:rsid w:val="004E3736"/>
    <w:rsid w:val="004E38AD"/>
    <w:rsid w:val="004E3DDA"/>
    <w:rsid w:val="004E582D"/>
    <w:rsid w:val="004E67AB"/>
    <w:rsid w:val="004E6BB4"/>
    <w:rsid w:val="004E6F94"/>
    <w:rsid w:val="004E7224"/>
    <w:rsid w:val="004F0EFE"/>
    <w:rsid w:val="004F19B9"/>
    <w:rsid w:val="004F1B8D"/>
    <w:rsid w:val="004F2305"/>
    <w:rsid w:val="004F2AFC"/>
    <w:rsid w:val="004F49A2"/>
    <w:rsid w:val="004F4E93"/>
    <w:rsid w:val="004F5A03"/>
    <w:rsid w:val="004F5F8E"/>
    <w:rsid w:val="004F7458"/>
    <w:rsid w:val="004F7676"/>
    <w:rsid w:val="005009C5"/>
    <w:rsid w:val="00502E70"/>
    <w:rsid w:val="00503D87"/>
    <w:rsid w:val="00505404"/>
    <w:rsid w:val="00505A6C"/>
    <w:rsid w:val="00505C71"/>
    <w:rsid w:val="00506532"/>
    <w:rsid w:val="0050659E"/>
    <w:rsid w:val="00506784"/>
    <w:rsid w:val="00506F0A"/>
    <w:rsid w:val="005074A1"/>
    <w:rsid w:val="0050752C"/>
    <w:rsid w:val="00507E5B"/>
    <w:rsid w:val="005117B5"/>
    <w:rsid w:val="00511DDA"/>
    <w:rsid w:val="00512861"/>
    <w:rsid w:val="00512E63"/>
    <w:rsid w:val="005130BC"/>
    <w:rsid w:val="0051393B"/>
    <w:rsid w:val="00513991"/>
    <w:rsid w:val="00513ACC"/>
    <w:rsid w:val="0051466A"/>
    <w:rsid w:val="0051467F"/>
    <w:rsid w:val="005151D5"/>
    <w:rsid w:val="00516095"/>
    <w:rsid w:val="00516337"/>
    <w:rsid w:val="00516479"/>
    <w:rsid w:val="00516979"/>
    <w:rsid w:val="00520F3B"/>
    <w:rsid w:val="00521053"/>
    <w:rsid w:val="00521FD3"/>
    <w:rsid w:val="00522016"/>
    <w:rsid w:val="00524F4F"/>
    <w:rsid w:val="0052505D"/>
    <w:rsid w:val="005253CE"/>
    <w:rsid w:val="00525F56"/>
    <w:rsid w:val="00526ECB"/>
    <w:rsid w:val="0052756C"/>
    <w:rsid w:val="0052782D"/>
    <w:rsid w:val="00527B4B"/>
    <w:rsid w:val="0053142B"/>
    <w:rsid w:val="00534065"/>
    <w:rsid w:val="005343CE"/>
    <w:rsid w:val="00534EDC"/>
    <w:rsid w:val="0053504C"/>
    <w:rsid w:val="00535685"/>
    <w:rsid w:val="00535873"/>
    <w:rsid w:val="00535DB7"/>
    <w:rsid w:val="00536B39"/>
    <w:rsid w:val="00536DE8"/>
    <w:rsid w:val="00537B8B"/>
    <w:rsid w:val="005400E6"/>
    <w:rsid w:val="00540A24"/>
    <w:rsid w:val="005412C7"/>
    <w:rsid w:val="0054160A"/>
    <w:rsid w:val="005419EA"/>
    <w:rsid w:val="00541D74"/>
    <w:rsid w:val="005420CF"/>
    <w:rsid w:val="00542251"/>
    <w:rsid w:val="00542413"/>
    <w:rsid w:val="00542F9A"/>
    <w:rsid w:val="00543061"/>
    <w:rsid w:val="00543843"/>
    <w:rsid w:val="00546A44"/>
    <w:rsid w:val="0054728B"/>
    <w:rsid w:val="0054793D"/>
    <w:rsid w:val="005510E0"/>
    <w:rsid w:val="00552C83"/>
    <w:rsid w:val="00552CEF"/>
    <w:rsid w:val="00552D5D"/>
    <w:rsid w:val="0055318A"/>
    <w:rsid w:val="00554154"/>
    <w:rsid w:val="005550F3"/>
    <w:rsid w:val="00555186"/>
    <w:rsid w:val="00555ADE"/>
    <w:rsid w:val="00556250"/>
    <w:rsid w:val="00556CE7"/>
    <w:rsid w:val="00557793"/>
    <w:rsid w:val="005601E5"/>
    <w:rsid w:val="00560FEF"/>
    <w:rsid w:val="00561C03"/>
    <w:rsid w:val="00561D05"/>
    <w:rsid w:val="00561FA7"/>
    <w:rsid w:val="005620C2"/>
    <w:rsid w:val="005626B5"/>
    <w:rsid w:val="00562F82"/>
    <w:rsid w:val="005630C0"/>
    <w:rsid w:val="00564243"/>
    <w:rsid w:val="0056489E"/>
    <w:rsid w:val="00564E25"/>
    <w:rsid w:val="00565389"/>
    <w:rsid w:val="005658AF"/>
    <w:rsid w:val="0056595E"/>
    <w:rsid w:val="00565FA8"/>
    <w:rsid w:val="00567C9C"/>
    <w:rsid w:val="00570397"/>
    <w:rsid w:val="00570822"/>
    <w:rsid w:val="00571CF0"/>
    <w:rsid w:val="00572B9B"/>
    <w:rsid w:val="00573500"/>
    <w:rsid w:val="005758AC"/>
    <w:rsid w:val="0057593E"/>
    <w:rsid w:val="005762AE"/>
    <w:rsid w:val="0057681A"/>
    <w:rsid w:val="005768C4"/>
    <w:rsid w:val="00576969"/>
    <w:rsid w:val="005800EC"/>
    <w:rsid w:val="00580143"/>
    <w:rsid w:val="0058073C"/>
    <w:rsid w:val="00580DD0"/>
    <w:rsid w:val="00580E16"/>
    <w:rsid w:val="005811CC"/>
    <w:rsid w:val="00581BFB"/>
    <w:rsid w:val="005828C4"/>
    <w:rsid w:val="00585272"/>
    <w:rsid w:val="00591654"/>
    <w:rsid w:val="00594B62"/>
    <w:rsid w:val="00594EEB"/>
    <w:rsid w:val="00595E8F"/>
    <w:rsid w:val="0059718C"/>
    <w:rsid w:val="005A04AB"/>
    <w:rsid w:val="005A0A36"/>
    <w:rsid w:val="005A323E"/>
    <w:rsid w:val="005A32B4"/>
    <w:rsid w:val="005A4B3B"/>
    <w:rsid w:val="005A6886"/>
    <w:rsid w:val="005B07DF"/>
    <w:rsid w:val="005B1FE0"/>
    <w:rsid w:val="005B3015"/>
    <w:rsid w:val="005B3148"/>
    <w:rsid w:val="005B3F8D"/>
    <w:rsid w:val="005B47A3"/>
    <w:rsid w:val="005B4B12"/>
    <w:rsid w:val="005B4E90"/>
    <w:rsid w:val="005B5993"/>
    <w:rsid w:val="005B59D1"/>
    <w:rsid w:val="005B5A2F"/>
    <w:rsid w:val="005B5C6F"/>
    <w:rsid w:val="005B5EC2"/>
    <w:rsid w:val="005B6489"/>
    <w:rsid w:val="005B74AB"/>
    <w:rsid w:val="005C0B89"/>
    <w:rsid w:val="005C1AD0"/>
    <w:rsid w:val="005C4BB6"/>
    <w:rsid w:val="005C6543"/>
    <w:rsid w:val="005C74C1"/>
    <w:rsid w:val="005C797A"/>
    <w:rsid w:val="005D0AAA"/>
    <w:rsid w:val="005D1FF4"/>
    <w:rsid w:val="005D2EEC"/>
    <w:rsid w:val="005D5721"/>
    <w:rsid w:val="005D5C67"/>
    <w:rsid w:val="005D7D73"/>
    <w:rsid w:val="005E08F0"/>
    <w:rsid w:val="005E133A"/>
    <w:rsid w:val="005E1465"/>
    <w:rsid w:val="005E2140"/>
    <w:rsid w:val="005E2AA7"/>
    <w:rsid w:val="005E2C7C"/>
    <w:rsid w:val="005E2FD5"/>
    <w:rsid w:val="005E3918"/>
    <w:rsid w:val="005E62A5"/>
    <w:rsid w:val="005E726E"/>
    <w:rsid w:val="005E742E"/>
    <w:rsid w:val="005F1A18"/>
    <w:rsid w:val="005F474C"/>
    <w:rsid w:val="005F4D8D"/>
    <w:rsid w:val="005F52B4"/>
    <w:rsid w:val="005F5C45"/>
    <w:rsid w:val="005F7B51"/>
    <w:rsid w:val="00602758"/>
    <w:rsid w:val="00602832"/>
    <w:rsid w:val="00603D9C"/>
    <w:rsid w:val="00604A31"/>
    <w:rsid w:val="00604BE4"/>
    <w:rsid w:val="00605541"/>
    <w:rsid w:val="00605703"/>
    <w:rsid w:val="00606129"/>
    <w:rsid w:val="00606140"/>
    <w:rsid w:val="006067BE"/>
    <w:rsid w:val="006069C4"/>
    <w:rsid w:val="00606CDF"/>
    <w:rsid w:val="006102B9"/>
    <w:rsid w:val="00610D30"/>
    <w:rsid w:val="00611032"/>
    <w:rsid w:val="0061163D"/>
    <w:rsid w:val="006123F2"/>
    <w:rsid w:val="00612770"/>
    <w:rsid w:val="006127A8"/>
    <w:rsid w:val="00612850"/>
    <w:rsid w:val="006130AF"/>
    <w:rsid w:val="006166F8"/>
    <w:rsid w:val="00616932"/>
    <w:rsid w:val="00616D6C"/>
    <w:rsid w:val="00620D1A"/>
    <w:rsid w:val="00621653"/>
    <w:rsid w:val="0062203F"/>
    <w:rsid w:val="00622627"/>
    <w:rsid w:val="0062280C"/>
    <w:rsid w:val="00622EB6"/>
    <w:rsid w:val="0062324B"/>
    <w:rsid w:val="00623369"/>
    <w:rsid w:val="00623711"/>
    <w:rsid w:val="0062445A"/>
    <w:rsid w:val="00624612"/>
    <w:rsid w:val="00624750"/>
    <w:rsid w:val="00626DD2"/>
    <w:rsid w:val="00627ED9"/>
    <w:rsid w:val="0063041F"/>
    <w:rsid w:val="00631246"/>
    <w:rsid w:val="0063136F"/>
    <w:rsid w:val="00632617"/>
    <w:rsid w:val="006327D3"/>
    <w:rsid w:val="00632962"/>
    <w:rsid w:val="0063478D"/>
    <w:rsid w:val="00634899"/>
    <w:rsid w:val="00635B9D"/>
    <w:rsid w:val="00635C1D"/>
    <w:rsid w:val="00635FFF"/>
    <w:rsid w:val="00636B10"/>
    <w:rsid w:val="00637D53"/>
    <w:rsid w:val="00637EE4"/>
    <w:rsid w:val="0064033B"/>
    <w:rsid w:val="0064063E"/>
    <w:rsid w:val="00641AD6"/>
    <w:rsid w:val="00641B33"/>
    <w:rsid w:val="0064252F"/>
    <w:rsid w:val="006427A8"/>
    <w:rsid w:val="00647450"/>
    <w:rsid w:val="00650EF1"/>
    <w:rsid w:val="00653086"/>
    <w:rsid w:val="006530B6"/>
    <w:rsid w:val="00655C55"/>
    <w:rsid w:val="006561ED"/>
    <w:rsid w:val="006575E5"/>
    <w:rsid w:val="00660C68"/>
    <w:rsid w:val="00660E1F"/>
    <w:rsid w:val="006611C1"/>
    <w:rsid w:val="00662E9B"/>
    <w:rsid w:val="006660C1"/>
    <w:rsid w:val="00666D7E"/>
    <w:rsid w:val="006678B4"/>
    <w:rsid w:val="0066791B"/>
    <w:rsid w:val="00670334"/>
    <w:rsid w:val="006706B0"/>
    <w:rsid w:val="00670BB3"/>
    <w:rsid w:val="00671EAD"/>
    <w:rsid w:val="00672005"/>
    <w:rsid w:val="006725A7"/>
    <w:rsid w:val="00673921"/>
    <w:rsid w:val="00674D77"/>
    <w:rsid w:val="006756A8"/>
    <w:rsid w:val="00675BFE"/>
    <w:rsid w:val="0067629A"/>
    <w:rsid w:val="0067663E"/>
    <w:rsid w:val="00676A82"/>
    <w:rsid w:val="00677724"/>
    <w:rsid w:val="00677888"/>
    <w:rsid w:val="006818D7"/>
    <w:rsid w:val="00681904"/>
    <w:rsid w:val="006826EB"/>
    <w:rsid w:val="00682F72"/>
    <w:rsid w:val="006830A2"/>
    <w:rsid w:val="00685CF4"/>
    <w:rsid w:val="0068752F"/>
    <w:rsid w:val="006911BE"/>
    <w:rsid w:val="006911EE"/>
    <w:rsid w:val="00691AD5"/>
    <w:rsid w:val="00691BBB"/>
    <w:rsid w:val="00692CBD"/>
    <w:rsid w:val="00693999"/>
    <w:rsid w:val="00693B03"/>
    <w:rsid w:val="00693B11"/>
    <w:rsid w:val="00695130"/>
    <w:rsid w:val="00696DBF"/>
    <w:rsid w:val="00697F68"/>
    <w:rsid w:val="006A095A"/>
    <w:rsid w:val="006A1386"/>
    <w:rsid w:val="006A3FA4"/>
    <w:rsid w:val="006A4AB7"/>
    <w:rsid w:val="006A4C45"/>
    <w:rsid w:val="006A5110"/>
    <w:rsid w:val="006A5A57"/>
    <w:rsid w:val="006A5FD9"/>
    <w:rsid w:val="006B08AD"/>
    <w:rsid w:val="006B0A02"/>
    <w:rsid w:val="006B0EC1"/>
    <w:rsid w:val="006B0FED"/>
    <w:rsid w:val="006B1884"/>
    <w:rsid w:val="006B25EF"/>
    <w:rsid w:val="006B2C7C"/>
    <w:rsid w:val="006B3C3D"/>
    <w:rsid w:val="006B468D"/>
    <w:rsid w:val="006B5B9B"/>
    <w:rsid w:val="006B5F5E"/>
    <w:rsid w:val="006B6F9A"/>
    <w:rsid w:val="006B73A8"/>
    <w:rsid w:val="006B741C"/>
    <w:rsid w:val="006B7764"/>
    <w:rsid w:val="006C1AA9"/>
    <w:rsid w:val="006C212E"/>
    <w:rsid w:val="006C219C"/>
    <w:rsid w:val="006C2611"/>
    <w:rsid w:val="006C2D3E"/>
    <w:rsid w:val="006C3446"/>
    <w:rsid w:val="006C4065"/>
    <w:rsid w:val="006C4205"/>
    <w:rsid w:val="006C43E6"/>
    <w:rsid w:val="006C4C4B"/>
    <w:rsid w:val="006C5716"/>
    <w:rsid w:val="006C6B6D"/>
    <w:rsid w:val="006C7235"/>
    <w:rsid w:val="006C72CF"/>
    <w:rsid w:val="006D00DC"/>
    <w:rsid w:val="006D332E"/>
    <w:rsid w:val="006D3631"/>
    <w:rsid w:val="006D600C"/>
    <w:rsid w:val="006D610F"/>
    <w:rsid w:val="006D632E"/>
    <w:rsid w:val="006E11E3"/>
    <w:rsid w:val="006E1768"/>
    <w:rsid w:val="006E1CDA"/>
    <w:rsid w:val="006E2DB7"/>
    <w:rsid w:val="006E3462"/>
    <w:rsid w:val="006E6EAF"/>
    <w:rsid w:val="006F0531"/>
    <w:rsid w:val="006F0B20"/>
    <w:rsid w:val="006F0F1C"/>
    <w:rsid w:val="006F1ABA"/>
    <w:rsid w:val="006F1E8E"/>
    <w:rsid w:val="006F216B"/>
    <w:rsid w:val="006F22CC"/>
    <w:rsid w:val="006F27B4"/>
    <w:rsid w:val="006F3258"/>
    <w:rsid w:val="006F4414"/>
    <w:rsid w:val="006F4A0C"/>
    <w:rsid w:val="006F4A48"/>
    <w:rsid w:val="006F509A"/>
    <w:rsid w:val="006F5CD0"/>
    <w:rsid w:val="006F6AB1"/>
    <w:rsid w:val="006F6C53"/>
    <w:rsid w:val="006F7E5F"/>
    <w:rsid w:val="0070052B"/>
    <w:rsid w:val="0070146A"/>
    <w:rsid w:val="00702292"/>
    <w:rsid w:val="00703A7E"/>
    <w:rsid w:val="00703FC8"/>
    <w:rsid w:val="007040F4"/>
    <w:rsid w:val="00704BE0"/>
    <w:rsid w:val="00705D78"/>
    <w:rsid w:val="007062FE"/>
    <w:rsid w:val="0070633C"/>
    <w:rsid w:val="00706523"/>
    <w:rsid w:val="0071051D"/>
    <w:rsid w:val="00711231"/>
    <w:rsid w:val="0071123C"/>
    <w:rsid w:val="007120E2"/>
    <w:rsid w:val="007127F6"/>
    <w:rsid w:val="00713279"/>
    <w:rsid w:val="00713352"/>
    <w:rsid w:val="007135F4"/>
    <w:rsid w:val="007142A2"/>
    <w:rsid w:val="00715AA2"/>
    <w:rsid w:val="00717210"/>
    <w:rsid w:val="00717359"/>
    <w:rsid w:val="00720499"/>
    <w:rsid w:val="0072193F"/>
    <w:rsid w:val="00722011"/>
    <w:rsid w:val="0072234D"/>
    <w:rsid w:val="007232B6"/>
    <w:rsid w:val="00723DDE"/>
    <w:rsid w:val="0072483E"/>
    <w:rsid w:val="0072600F"/>
    <w:rsid w:val="00726908"/>
    <w:rsid w:val="00726DA3"/>
    <w:rsid w:val="00727185"/>
    <w:rsid w:val="00730AC2"/>
    <w:rsid w:val="00731CF5"/>
    <w:rsid w:val="00731F5A"/>
    <w:rsid w:val="00733995"/>
    <w:rsid w:val="0073527B"/>
    <w:rsid w:val="00735EFE"/>
    <w:rsid w:val="00736B35"/>
    <w:rsid w:val="0073743B"/>
    <w:rsid w:val="007376DE"/>
    <w:rsid w:val="007411F8"/>
    <w:rsid w:val="00742877"/>
    <w:rsid w:val="00743928"/>
    <w:rsid w:val="00743F77"/>
    <w:rsid w:val="00745402"/>
    <w:rsid w:val="0074541B"/>
    <w:rsid w:val="0074544A"/>
    <w:rsid w:val="00745D66"/>
    <w:rsid w:val="00747E70"/>
    <w:rsid w:val="00750144"/>
    <w:rsid w:val="00750976"/>
    <w:rsid w:val="00752C87"/>
    <w:rsid w:val="00753464"/>
    <w:rsid w:val="00753758"/>
    <w:rsid w:val="007542D0"/>
    <w:rsid w:val="00754DAF"/>
    <w:rsid w:val="00754F30"/>
    <w:rsid w:val="00755B7A"/>
    <w:rsid w:val="0075620E"/>
    <w:rsid w:val="007563DF"/>
    <w:rsid w:val="007570E8"/>
    <w:rsid w:val="00761F27"/>
    <w:rsid w:val="00762511"/>
    <w:rsid w:val="00763589"/>
    <w:rsid w:val="00764EB7"/>
    <w:rsid w:val="00766441"/>
    <w:rsid w:val="007676B3"/>
    <w:rsid w:val="00767BCD"/>
    <w:rsid w:val="007715DD"/>
    <w:rsid w:val="00771B89"/>
    <w:rsid w:val="00771F42"/>
    <w:rsid w:val="0077226F"/>
    <w:rsid w:val="0077310F"/>
    <w:rsid w:val="00773DA7"/>
    <w:rsid w:val="00774CAF"/>
    <w:rsid w:val="007812E7"/>
    <w:rsid w:val="00781300"/>
    <w:rsid w:val="007813C4"/>
    <w:rsid w:val="007814D3"/>
    <w:rsid w:val="007814EA"/>
    <w:rsid w:val="007821B8"/>
    <w:rsid w:val="00782580"/>
    <w:rsid w:val="00783046"/>
    <w:rsid w:val="00783F16"/>
    <w:rsid w:val="00784250"/>
    <w:rsid w:val="00784817"/>
    <w:rsid w:val="00784A32"/>
    <w:rsid w:val="00786687"/>
    <w:rsid w:val="00786F99"/>
    <w:rsid w:val="00790720"/>
    <w:rsid w:val="007909A7"/>
    <w:rsid w:val="00791043"/>
    <w:rsid w:val="0079160E"/>
    <w:rsid w:val="00791A2B"/>
    <w:rsid w:val="00791A74"/>
    <w:rsid w:val="00792B0B"/>
    <w:rsid w:val="00792D54"/>
    <w:rsid w:val="007939A6"/>
    <w:rsid w:val="00794D22"/>
    <w:rsid w:val="00795387"/>
    <w:rsid w:val="00795476"/>
    <w:rsid w:val="00796383"/>
    <w:rsid w:val="007A1C45"/>
    <w:rsid w:val="007A1F1F"/>
    <w:rsid w:val="007A2A54"/>
    <w:rsid w:val="007A31CE"/>
    <w:rsid w:val="007A3507"/>
    <w:rsid w:val="007A3C2D"/>
    <w:rsid w:val="007A416C"/>
    <w:rsid w:val="007A46F9"/>
    <w:rsid w:val="007A52A6"/>
    <w:rsid w:val="007A568C"/>
    <w:rsid w:val="007A699E"/>
    <w:rsid w:val="007B05F4"/>
    <w:rsid w:val="007B0AFB"/>
    <w:rsid w:val="007B16A9"/>
    <w:rsid w:val="007B1B9A"/>
    <w:rsid w:val="007B25EF"/>
    <w:rsid w:val="007B2C75"/>
    <w:rsid w:val="007B3C97"/>
    <w:rsid w:val="007B6289"/>
    <w:rsid w:val="007B7476"/>
    <w:rsid w:val="007C03E5"/>
    <w:rsid w:val="007C08AD"/>
    <w:rsid w:val="007C2A65"/>
    <w:rsid w:val="007C2E33"/>
    <w:rsid w:val="007C30C8"/>
    <w:rsid w:val="007C3F98"/>
    <w:rsid w:val="007C4099"/>
    <w:rsid w:val="007C4C57"/>
    <w:rsid w:val="007C50A0"/>
    <w:rsid w:val="007C6ED8"/>
    <w:rsid w:val="007C7468"/>
    <w:rsid w:val="007C754C"/>
    <w:rsid w:val="007C7E25"/>
    <w:rsid w:val="007D28A9"/>
    <w:rsid w:val="007D2FA5"/>
    <w:rsid w:val="007D34C8"/>
    <w:rsid w:val="007D35C7"/>
    <w:rsid w:val="007D45E8"/>
    <w:rsid w:val="007D5543"/>
    <w:rsid w:val="007D5ABD"/>
    <w:rsid w:val="007D6920"/>
    <w:rsid w:val="007D74FE"/>
    <w:rsid w:val="007E0E5E"/>
    <w:rsid w:val="007E0E93"/>
    <w:rsid w:val="007E2B73"/>
    <w:rsid w:val="007E32A1"/>
    <w:rsid w:val="007E5FA1"/>
    <w:rsid w:val="007E69CF"/>
    <w:rsid w:val="007E73F8"/>
    <w:rsid w:val="007E775D"/>
    <w:rsid w:val="007E785E"/>
    <w:rsid w:val="007F0678"/>
    <w:rsid w:val="007F19B3"/>
    <w:rsid w:val="007F2E2E"/>
    <w:rsid w:val="007F4B33"/>
    <w:rsid w:val="007F52B9"/>
    <w:rsid w:val="007F6FA9"/>
    <w:rsid w:val="007F7230"/>
    <w:rsid w:val="007F7F55"/>
    <w:rsid w:val="00801106"/>
    <w:rsid w:val="00801BD0"/>
    <w:rsid w:val="00802689"/>
    <w:rsid w:val="00803C26"/>
    <w:rsid w:val="008046F5"/>
    <w:rsid w:val="00810DE5"/>
    <w:rsid w:val="00811ABD"/>
    <w:rsid w:val="00812E48"/>
    <w:rsid w:val="00814996"/>
    <w:rsid w:val="00814DB8"/>
    <w:rsid w:val="00817064"/>
    <w:rsid w:val="00817D64"/>
    <w:rsid w:val="008204AA"/>
    <w:rsid w:val="0082063E"/>
    <w:rsid w:val="00820A7D"/>
    <w:rsid w:val="00821AA3"/>
    <w:rsid w:val="00821BBD"/>
    <w:rsid w:val="00821D9B"/>
    <w:rsid w:val="00822B93"/>
    <w:rsid w:val="00822BCF"/>
    <w:rsid w:val="00822CF3"/>
    <w:rsid w:val="00824923"/>
    <w:rsid w:val="00824BA3"/>
    <w:rsid w:val="00824FEA"/>
    <w:rsid w:val="00825592"/>
    <w:rsid w:val="008259B7"/>
    <w:rsid w:val="00825C4D"/>
    <w:rsid w:val="00826831"/>
    <w:rsid w:val="00827445"/>
    <w:rsid w:val="008308EC"/>
    <w:rsid w:val="00830A89"/>
    <w:rsid w:val="00831DD8"/>
    <w:rsid w:val="00832F10"/>
    <w:rsid w:val="0083348E"/>
    <w:rsid w:val="008349D7"/>
    <w:rsid w:val="0083512F"/>
    <w:rsid w:val="008361D5"/>
    <w:rsid w:val="00836DC9"/>
    <w:rsid w:val="008400E0"/>
    <w:rsid w:val="00840B18"/>
    <w:rsid w:val="00841513"/>
    <w:rsid w:val="0084191A"/>
    <w:rsid w:val="00843707"/>
    <w:rsid w:val="008445B4"/>
    <w:rsid w:val="00845094"/>
    <w:rsid w:val="00845453"/>
    <w:rsid w:val="0084622D"/>
    <w:rsid w:val="00847AAC"/>
    <w:rsid w:val="00847E8B"/>
    <w:rsid w:val="008511F9"/>
    <w:rsid w:val="00851699"/>
    <w:rsid w:val="008519AE"/>
    <w:rsid w:val="00851F09"/>
    <w:rsid w:val="00852A61"/>
    <w:rsid w:val="008539C2"/>
    <w:rsid w:val="0085404C"/>
    <w:rsid w:val="00857020"/>
    <w:rsid w:val="00860D89"/>
    <w:rsid w:val="0086149A"/>
    <w:rsid w:val="008618F9"/>
    <w:rsid w:val="0086206E"/>
    <w:rsid w:val="00863178"/>
    <w:rsid w:val="00863E18"/>
    <w:rsid w:val="0086479B"/>
    <w:rsid w:val="00865342"/>
    <w:rsid w:val="0086561B"/>
    <w:rsid w:val="00865A3B"/>
    <w:rsid w:val="008675D2"/>
    <w:rsid w:val="008679D6"/>
    <w:rsid w:val="00867E5B"/>
    <w:rsid w:val="0087012D"/>
    <w:rsid w:val="00871297"/>
    <w:rsid w:val="00872DB7"/>
    <w:rsid w:val="00872EC0"/>
    <w:rsid w:val="008732B0"/>
    <w:rsid w:val="00873CC3"/>
    <w:rsid w:val="008749C7"/>
    <w:rsid w:val="00875041"/>
    <w:rsid w:val="00875C6E"/>
    <w:rsid w:val="00876470"/>
    <w:rsid w:val="00876936"/>
    <w:rsid w:val="008771C1"/>
    <w:rsid w:val="00877702"/>
    <w:rsid w:val="00881816"/>
    <w:rsid w:val="0088222C"/>
    <w:rsid w:val="008825FC"/>
    <w:rsid w:val="008829F9"/>
    <w:rsid w:val="00882DA4"/>
    <w:rsid w:val="00883A21"/>
    <w:rsid w:val="00883A57"/>
    <w:rsid w:val="008846F6"/>
    <w:rsid w:val="00884D80"/>
    <w:rsid w:val="00885A6F"/>
    <w:rsid w:val="00885D77"/>
    <w:rsid w:val="00886311"/>
    <w:rsid w:val="008866EB"/>
    <w:rsid w:val="0088677F"/>
    <w:rsid w:val="0088748C"/>
    <w:rsid w:val="008905D0"/>
    <w:rsid w:val="00890B36"/>
    <w:rsid w:val="00890E47"/>
    <w:rsid w:val="00890F64"/>
    <w:rsid w:val="00891247"/>
    <w:rsid w:val="0089183E"/>
    <w:rsid w:val="008927FE"/>
    <w:rsid w:val="00895DA5"/>
    <w:rsid w:val="00896209"/>
    <w:rsid w:val="008A0376"/>
    <w:rsid w:val="008A06F9"/>
    <w:rsid w:val="008A08B8"/>
    <w:rsid w:val="008A1276"/>
    <w:rsid w:val="008A2800"/>
    <w:rsid w:val="008A2CC5"/>
    <w:rsid w:val="008A30CA"/>
    <w:rsid w:val="008A34CE"/>
    <w:rsid w:val="008A46C4"/>
    <w:rsid w:val="008A4C70"/>
    <w:rsid w:val="008A56B1"/>
    <w:rsid w:val="008A6187"/>
    <w:rsid w:val="008A6F5C"/>
    <w:rsid w:val="008A7BC3"/>
    <w:rsid w:val="008B13E9"/>
    <w:rsid w:val="008B1F0F"/>
    <w:rsid w:val="008B3DF7"/>
    <w:rsid w:val="008B3E12"/>
    <w:rsid w:val="008B4A2D"/>
    <w:rsid w:val="008B4DA3"/>
    <w:rsid w:val="008B5ABB"/>
    <w:rsid w:val="008B6737"/>
    <w:rsid w:val="008B6761"/>
    <w:rsid w:val="008B7078"/>
    <w:rsid w:val="008B77C1"/>
    <w:rsid w:val="008C008C"/>
    <w:rsid w:val="008C0FEE"/>
    <w:rsid w:val="008C141C"/>
    <w:rsid w:val="008C1B7A"/>
    <w:rsid w:val="008C1F38"/>
    <w:rsid w:val="008C27D4"/>
    <w:rsid w:val="008C2C41"/>
    <w:rsid w:val="008C370A"/>
    <w:rsid w:val="008C5062"/>
    <w:rsid w:val="008C5312"/>
    <w:rsid w:val="008C72B0"/>
    <w:rsid w:val="008C73BB"/>
    <w:rsid w:val="008D04EB"/>
    <w:rsid w:val="008D05F3"/>
    <w:rsid w:val="008D07AD"/>
    <w:rsid w:val="008D15A1"/>
    <w:rsid w:val="008D2C0F"/>
    <w:rsid w:val="008D32E1"/>
    <w:rsid w:val="008D33B5"/>
    <w:rsid w:val="008D4116"/>
    <w:rsid w:val="008D620E"/>
    <w:rsid w:val="008D6CEA"/>
    <w:rsid w:val="008D6DEA"/>
    <w:rsid w:val="008D74C4"/>
    <w:rsid w:val="008E13E1"/>
    <w:rsid w:val="008E2FF6"/>
    <w:rsid w:val="008E3A96"/>
    <w:rsid w:val="008E49B4"/>
    <w:rsid w:val="008E4C3E"/>
    <w:rsid w:val="008E5952"/>
    <w:rsid w:val="008E63FB"/>
    <w:rsid w:val="008E6491"/>
    <w:rsid w:val="008E677E"/>
    <w:rsid w:val="008E68AE"/>
    <w:rsid w:val="008E6B7A"/>
    <w:rsid w:val="008E797F"/>
    <w:rsid w:val="008E7A0F"/>
    <w:rsid w:val="008F0B64"/>
    <w:rsid w:val="008F1BD8"/>
    <w:rsid w:val="008F2289"/>
    <w:rsid w:val="008F2B4D"/>
    <w:rsid w:val="008F4779"/>
    <w:rsid w:val="008F4E14"/>
    <w:rsid w:val="008F4E71"/>
    <w:rsid w:val="008F622E"/>
    <w:rsid w:val="008F66F6"/>
    <w:rsid w:val="008F79E0"/>
    <w:rsid w:val="0090140E"/>
    <w:rsid w:val="009015B3"/>
    <w:rsid w:val="0090160E"/>
    <w:rsid w:val="00904777"/>
    <w:rsid w:val="0090558D"/>
    <w:rsid w:val="00905B7A"/>
    <w:rsid w:val="009070F1"/>
    <w:rsid w:val="00907785"/>
    <w:rsid w:val="009077CD"/>
    <w:rsid w:val="00910B5D"/>
    <w:rsid w:val="00910EB2"/>
    <w:rsid w:val="00911222"/>
    <w:rsid w:val="0091291A"/>
    <w:rsid w:val="00913B61"/>
    <w:rsid w:val="00913C8C"/>
    <w:rsid w:val="0091423E"/>
    <w:rsid w:val="00915239"/>
    <w:rsid w:val="009152F3"/>
    <w:rsid w:val="00915E7B"/>
    <w:rsid w:val="00916FFB"/>
    <w:rsid w:val="00917F85"/>
    <w:rsid w:val="00921698"/>
    <w:rsid w:val="00922E2C"/>
    <w:rsid w:val="00923097"/>
    <w:rsid w:val="0092337D"/>
    <w:rsid w:val="00923E29"/>
    <w:rsid w:val="009251BD"/>
    <w:rsid w:val="00925ACD"/>
    <w:rsid w:val="009273C7"/>
    <w:rsid w:val="009309C7"/>
    <w:rsid w:val="00931ACD"/>
    <w:rsid w:val="00935558"/>
    <w:rsid w:val="00935AE8"/>
    <w:rsid w:val="009369B4"/>
    <w:rsid w:val="00936AB5"/>
    <w:rsid w:val="00937438"/>
    <w:rsid w:val="0093765C"/>
    <w:rsid w:val="00937F08"/>
    <w:rsid w:val="00940128"/>
    <w:rsid w:val="009403E0"/>
    <w:rsid w:val="00940998"/>
    <w:rsid w:val="00943A6F"/>
    <w:rsid w:val="00945BD6"/>
    <w:rsid w:val="0094779C"/>
    <w:rsid w:val="00947FBD"/>
    <w:rsid w:val="00950557"/>
    <w:rsid w:val="0095122A"/>
    <w:rsid w:val="00951A03"/>
    <w:rsid w:val="00952D65"/>
    <w:rsid w:val="00954470"/>
    <w:rsid w:val="00956437"/>
    <w:rsid w:val="009564C4"/>
    <w:rsid w:val="00956708"/>
    <w:rsid w:val="00956C43"/>
    <w:rsid w:val="00957571"/>
    <w:rsid w:val="00957A19"/>
    <w:rsid w:val="00957AFE"/>
    <w:rsid w:val="00957E86"/>
    <w:rsid w:val="00960AD3"/>
    <w:rsid w:val="00960F9D"/>
    <w:rsid w:val="0096197A"/>
    <w:rsid w:val="00961AAC"/>
    <w:rsid w:val="00961E2B"/>
    <w:rsid w:val="00962445"/>
    <w:rsid w:val="00962597"/>
    <w:rsid w:val="00964136"/>
    <w:rsid w:val="00964A4E"/>
    <w:rsid w:val="00964B78"/>
    <w:rsid w:val="0096508E"/>
    <w:rsid w:val="00966E9F"/>
    <w:rsid w:val="00967CE7"/>
    <w:rsid w:val="0097182A"/>
    <w:rsid w:val="00972B3A"/>
    <w:rsid w:val="00972F55"/>
    <w:rsid w:val="00973B11"/>
    <w:rsid w:val="00974672"/>
    <w:rsid w:val="00975F27"/>
    <w:rsid w:val="00976837"/>
    <w:rsid w:val="009771B1"/>
    <w:rsid w:val="00980B58"/>
    <w:rsid w:val="009815BF"/>
    <w:rsid w:val="00982F51"/>
    <w:rsid w:val="00983464"/>
    <w:rsid w:val="00983B66"/>
    <w:rsid w:val="00983BB0"/>
    <w:rsid w:val="00983E71"/>
    <w:rsid w:val="00986062"/>
    <w:rsid w:val="0098676C"/>
    <w:rsid w:val="0098725B"/>
    <w:rsid w:val="009905EE"/>
    <w:rsid w:val="0099172D"/>
    <w:rsid w:val="009921CB"/>
    <w:rsid w:val="0099335D"/>
    <w:rsid w:val="009938AD"/>
    <w:rsid w:val="009938E0"/>
    <w:rsid w:val="00994425"/>
    <w:rsid w:val="00994689"/>
    <w:rsid w:val="00995090"/>
    <w:rsid w:val="00995900"/>
    <w:rsid w:val="00996ACE"/>
    <w:rsid w:val="00997178"/>
    <w:rsid w:val="00997D7B"/>
    <w:rsid w:val="00997E02"/>
    <w:rsid w:val="009A006C"/>
    <w:rsid w:val="009A1338"/>
    <w:rsid w:val="009A43A5"/>
    <w:rsid w:val="009A6470"/>
    <w:rsid w:val="009A6F74"/>
    <w:rsid w:val="009A7510"/>
    <w:rsid w:val="009A78E5"/>
    <w:rsid w:val="009A7D6D"/>
    <w:rsid w:val="009B05A1"/>
    <w:rsid w:val="009B12E9"/>
    <w:rsid w:val="009B4193"/>
    <w:rsid w:val="009B6C0E"/>
    <w:rsid w:val="009B725F"/>
    <w:rsid w:val="009B75AA"/>
    <w:rsid w:val="009C09AA"/>
    <w:rsid w:val="009C09FE"/>
    <w:rsid w:val="009C1673"/>
    <w:rsid w:val="009C2475"/>
    <w:rsid w:val="009C2E48"/>
    <w:rsid w:val="009C36B3"/>
    <w:rsid w:val="009C3DFC"/>
    <w:rsid w:val="009C4697"/>
    <w:rsid w:val="009C46F0"/>
    <w:rsid w:val="009C4908"/>
    <w:rsid w:val="009C64EA"/>
    <w:rsid w:val="009C6B17"/>
    <w:rsid w:val="009C77B0"/>
    <w:rsid w:val="009C7F66"/>
    <w:rsid w:val="009D08F2"/>
    <w:rsid w:val="009D2FB2"/>
    <w:rsid w:val="009D3395"/>
    <w:rsid w:val="009D349F"/>
    <w:rsid w:val="009D35C9"/>
    <w:rsid w:val="009D5BCA"/>
    <w:rsid w:val="009D68E9"/>
    <w:rsid w:val="009D6B2B"/>
    <w:rsid w:val="009E12F1"/>
    <w:rsid w:val="009E1324"/>
    <w:rsid w:val="009E13EF"/>
    <w:rsid w:val="009E2589"/>
    <w:rsid w:val="009E2BD4"/>
    <w:rsid w:val="009E2E89"/>
    <w:rsid w:val="009E423C"/>
    <w:rsid w:val="009E4982"/>
    <w:rsid w:val="009E4D41"/>
    <w:rsid w:val="009E506A"/>
    <w:rsid w:val="009E5B30"/>
    <w:rsid w:val="009E65AE"/>
    <w:rsid w:val="009F0D2C"/>
    <w:rsid w:val="009F0DDE"/>
    <w:rsid w:val="009F0E9B"/>
    <w:rsid w:val="009F1FDC"/>
    <w:rsid w:val="009F2A4F"/>
    <w:rsid w:val="009F37E4"/>
    <w:rsid w:val="009F3A49"/>
    <w:rsid w:val="009F4455"/>
    <w:rsid w:val="009F4579"/>
    <w:rsid w:val="009F676D"/>
    <w:rsid w:val="009F7B34"/>
    <w:rsid w:val="00A00AB3"/>
    <w:rsid w:val="00A025E1"/>
    <w:rsid w:val="00A02624"/>
    <w:rsid w:val="00A02DFF"/>
    <w:rsid w:val="00A0444B"/>
    <w:rsid w:val="00A048FC"/>
    <w:rsid w:val="00A04A27"/>
    <w:rsid w:val="00A0698B"/>
    <w:rsid w:val="00A07549"/>
    <w:rsid w:val="00A07B5D"/>
    <w:rsid w:val="00A07E9B"/>
    <w:rsid w:val="00A11528"/>
    <w:rsid w:val="00A1164F"/>
    <w:rsid w:val="00A11F3D"/>
    <w:rsid w:val="00A12BB5"/>
    <w:rsid w:val="00A13218"/>
    <w:rsid w:val="00A14053"/>
    <w:rsid w:val="00A157CD"/>
    <w:rsid w:val="00A15F48"/>
    <w:rsid w:val="00A169B8"/>
    <w:rsid w:val="00A16C9E"/>
    <w:rsid w:val="00A17865"/>
    <w:rsid w:val="00A1790A"/>
    <w:rsid w:val="00A20673"/>
    <w:rsid w:val="00A21127"/>
    <w:rsid w:val="00A222DE"/>
    <w:rsid w:val="00A227E5"/>
    <w:rsid w:val="00A22849"/>
    <w:rsid w:val="00A235B0"/>
    <w:rsid w:val="00A23911"/>
    <w:rsid w:val="00A258F5"/>
    <w:rsid w:val="00A25DDF"/>
    <w:rsid w:val="00A26683"/>
    <w:rsid w:val="00A26CF7"/>
    <w:rsid w:val="00A27503"/>
    <w:rsid w:val="00A277D5"/>
    <w:rsid w:val="00A30302"/>
    <w:rsid w:val="00A30B1F"/>
    <w:rsid w:val="00A31D5D"/>
    <w:rsid w:val="00A34665"/>
    <w:rsid w:val="00A351BE"/>
    <w:rsid w:val="00A3562D"/>
    <w:rsid w:val="00A35BD2"/>
    <w:rsid w:val="00A35DA8"/>
    <w:rsid w:val="00A36743"/>
    <w:rsid w:val="00A379B9"/>
    <w:rsid w:val="00A40C41"/>
    <w:rsid w:val="00A41341"/>
    <w:rsid w:val="00A42472"/>
    <w:rsid w:val="00A42FAE"/>
    <w:rsid w:val="00A43520"/>
    <w:rsid w:val="00A4381F"/>
    <w:rsid w:val="00A43B0A"/>
    <w:rsid w:val="00A444AC"/>
    <w:rsid w:val="00A44D7C"/>
    <w:rsid w:val="00A47028"/>
    <w:rsid w:val="00A47BA8"/>
    <w:rsid w:val="00A505A0"/>
    <w:rsid w:val="00A50BE4"/>
    <w:rsid w:val="00A50EE8"/>
    <w:rsid w:val="00A516EB"/>
    <w:rsid w:val="00A523A3"/>
    <w:rsid w:val="00A53280"/>
    <w:rsid w:val="00A5411F"/>
    <w:rsid w:val="00A54DB9"/>
    <w:rsid w:val="00A57178"/>
    <w:rsid w:val="00A57351"/>
    <w:rsid w:val="00A57F30"/>
    <w:rsid w:val="00A625FB"/>
    <w:rsid w:val="00A62750"/>
    <w:rsid w:val="00A62AAE"/>
    <w:rsid w:val="00A63436"/>
    <w:rsid w:val="00A640E8"/>
    <w:rsid w:val="00A64D9F"/>
    <w:rsid w:val="00A65223"/>
    <w:rsid w:val="00A6531D"/>
    <w:rsid w:val="00A65FF6"/>
    <w:rsid w:val="00A66035"/>
    <w:rsid w:val="00A66184"/>
    <w:rsid w:val="00A6699E"/>
    <w:rsid w:val="00A66C32"/>
    <w:rsid w:val="00A66EBA"/>
    <w:rsid w:val="00A67994"/>
    <w:rsid w:val="00A67D1A"/>
    <w:rsid w:val="00A704B7"/>
    <w:rsid w:val="00A70C33"/>
    <w:rsid w:val="00A72459"/>
    <w:rsid w:val="00A72C92"/>
    <w:rsid w:val="00A72EC8"/>
    <w:rsid w:val="00A73DE9"/>
    <w:rsid w:val="00A73F35"/>
    <w:rsid w:val="00A740AC"/>
    <w:rsid w:val="00A747D9"/>
    <w:rsid w:val="00A74FCA"/>
    <w:rsid w:val="00A76847"/>
    <w:rsid w:val="00A779D4"/>
    <w:rsid w:val="00A77AA6"/>
    <w:rsid w:val="00A8033D"/>
    <w:rsid w:val="00A80501"/>
    <w:rsid w:val="00A81E08"/>
    <w:rsid w:val="00A851F7"/>
    <w:rsid w:val="00A86725"/>
    <w:rsid w:val="00A86ECA"/>
    <w:rsid w:val="00A874AF"/>
    <w:rsid w:val="00A87790"/>
    <w:rsid w:val="00A908AD"/>
    <w:rsid w:val="00A91304"/>
    <w:rsid w:val="00A926DE"/>
    <w:rsid w:val="00A9276F"/>
    <w:rsid w:val="00A933F7"/>
    <w:rsid w:val="00A94BE4"/>
    <w:rsid w:val="00A95193"/>
    <w:rsid w:val="00A95916"/>
    <w:rsid w:val="00A95DE8"/>
    <w:rsid w:val="00A96C4D"/>
    <w:rsid w:val="00AA0EF2"/>
    <w:rsid w:val="00AA1896"/>
    <w:rsid w:val="00AA39DB"/>
    <w:rsid w:val="00AA3AE6"/>
    <w:rsid w:val="00AA4655"/>
    <w:rsid w:val="00AA55E1"/>
    <w:rsid w:val="00AA56B8"/>
    <w:rsid w:val="00AA5ED3"/>
    <w:rsid w:val="00AA7026"/>
    <w:rsid w:val="00AA788C"/>
    <w:rsid w:val="00AB03DA"/>
    <w:rsid w:val="00AB095A"/>
    <w:rsid w:val="00AB1325"/>
    <w:rsid w:val="00AB1921"/>
    <w:rsid w:val="00AB1DBF"/>
    <w:rsid w:val="00AB200D"/>
    <w:rsid w:val="00AB24CB"/>
    <w:rsid w:val="00AB2B61"/>
    <w:rsid w:val="00AB4994"/>
    <w:rsid w:val="00AB4E5F"/>
    <w:rsid w:val="00AB57E1"/>
    <w:rsid w:val="00AB58A8"/>
    <w:rsid w:val="00AB6F6A"/>
    <w:rsid w:val="00AB71AF"/>
    <w:rsid w:val="00AB7AA5"/>
    <w:rsid w:val="00AC11E9"/>
    <w:rsid w:val="00AC1A51"/>
    <w:rsid w:val="00AC1D6A"/>
    <w:rsid w:val="00AC2551"/>
    <w:rsid w:val="00AC2598"/>
    <w:rsid w:val="00AC2BD7"/>
    <w:rsid w:val="00AC3969"/>
    <w:rsid w:val="00AC3E19"/>
    <w:rsid w:val="00AC4106"/>
    <w:rsid w:val="00AC42F4"/>
    <w:rsid w:val="00AC4ACE"/>
    <w:rsid w:val="00AC54CD"/>
    <w:rsid w:val="00AC7A0D"/>
    <w:rsid w:val="00AD0B57"/>
    <w:rsid w:val="00AD0FED"/>
    <w:rsid w:val="00AD1AC5"/>
    <w:rsid w:val="00AD2458"/>
    <w:rsid w:val="00AD2D64"/>
    <w:rsid w:val="00AD425D"/>
    <w:rsid w:val="00AD4B95"/>
    <w:rsid w:val="00AD6067"/>
    <w:rsid w:val="00AD62CD"/>
    <w:rsid w:val="00AD69CF"/>
    <w:rsid w:val="00AD7852"/>
    <w:rsid w:val="00AE0359"/>
    <w:rsid w:val="00AE0451"/>
    <w:rsid w:val="00AE0682"/>
    <w:rsid w:val="00AE1695"/>
    <w:rsid w:val="00AE1C0E"/>
    <w:rsid w:val="00AE23DB"/>
    <w:rsid w:val="00AE23E5"/>
    <w:rsid w:val="00AE33C9"/>
    <w:rsid w:val="00AE44CF"/>
    <w:rsid w:val="00AE4B99"/>
    <w:rsid w:val="00AE56F7"/>
    <w:rsid w:val="00AE799D"/>
    <w:rsid w:val="00AF182F"/>
    <w:rsid w:val="00AF1AF4"/>
    <w:rsid w:val="00AF3C5E"/>
    <w:rsid w:val="00AF3DE5"/>
    <w:rsid w:val="00AF42BB"/>
    <w:rsid w:val="00AF4FBE"/>
    <w:rsid w:val="00AF5714"/>
    <w:rsid w:val="00AF644B"/>
    <w:rsid w:val="00AF7CB6"/>
    <w:rsid w:val="00B00E60"/>
    <w:rsid w:val="00B01C47"/>
    <w:rsid w:val="00B0300E"/>
    <w:rsid w:val="00B03320"/>
    <w:rsid w:val="00B04788"/>
    <w:rsid w:val="00B051B1"/>
    <w:rsid w:val="00B05D9B"/>
    <w:rsid w:val="00B05FD5"/>
    <w:rsid w:val="00B06C3F"/>
    <w:rsid w:val="00B10F7B"/>
    <w:rsid w:val="00B12D32"/>
    <w:rsid w:val="00B13E68"/>
    <w:rsid w:val="00B13E74"/>
    <w:rsid w:val="00B14BFA"/>
    <w:rsid w:val="00B16083"/>
    <w:rsid w:val="00B165AE"/>
    <w:rsid w:val="00B16B14"/>
    <w:rsid w:val="00B16C5C"/>
    <w:rsid w:val="00B213DA"/>
    <w:rsid w:val="00B21C03"/>
    <w:rsid w:val="00B22AF3"/>
    <w:rsid w:val="00B232E3"/>
    <w:rsid w:val="00B236AB"/>
    <w:rsid w:val="00B2375C"/>
    <w:rsid w:val="00B23A70"/>
    <w:rsid w:val="00B24724"/>
    <w:rsid w:val="00B24C64"/>
    <w:rsid w:val="00B26A9E"/>
    <w:rsid w:val="00B30657"/>
    <w:rsid w:val="00B309F9"/>
    <w:rsid w:val="00B31801"/>
    <w:rsid w:val="00B31A0F"/>
    <w:rsid w:val="00B326C7"/>
    <w:rsid w:val="00B3336B"/>
    <w:rsid w:val="00B3345D"/>
    <w:rsid w:val="00B33DBC"/>
    <w:rsid w:val="00B350FE"/>
    <w:rsid w:val="00B358BE"/>
    <w:rsid w:val="00B35961"/>
    <w:rsid w:val="00B3684E"/>
    <w:rsid w:val="00B37671"/>
    <w:rsid w:val="00B37785"/>
    <w:rsid w:val="00B3789D"/>
    <w:rsid w:val="00B37C1B"/>
    <w:rsid w:val="00B4005B"/>
    <w:rsid w:val="00B40493"/>
    <w:rsid w:val="00B412B7"/>
    <w:rsid w:val="00B41395"/>
    <w:rsid w:val="00B414E8"/>
    <w:rsid w:val="00B41547"/>
    <w:rsid w:val="00B41930"/>
    <w:rsid w:val="00B41CE8"/>
    <w:rsid w:val="00B43CE2"/>
    <w:rsid w:val="00B445A8"/>
    <w:rsid w:val="00B44610"/>
    <w:rsid w:val="00B4498D"/>
    <w:rsid w:val="00B449D0"/>
    <w:rsid w:val="00B4618B"/>
    <w:rsid w:val="00B46608"/>
    <w:rsid w:val="00B46DB8"/>
    <w:rsid w:val="00B46DF7"/>
    <w:rsid w:val="00B473C8"/>
    <w:rsid w:val="00B476F1"/>
    <w:rsid w:val="00B47877"/>
    <w:rsid w:val="00B4794F"/>
    <w:rsid w:val="00B5031C"/>
    <w:rsid w:val="00B50CFB"/>
    <w:rsid w:val="00B512F2"/>
    <w:rsid w:val="00B51446"/>
    <w:rsid w:val="00B5412C"/>
    <w:rsid w:val="00B572D2"/>
    <w:rsid w:val="00B578A6"/>
    <w:rsid w:val="00B57F43"/>
    <w:rsid w:val="00B61182"/>
    <w:rsid w:val="00B61927"/>
    <w:rsid w:val="00B633E4"/>
    <w:rsid w:val="00B64453"/>
    <w:rsid w:val="00B64BB2"/>
    <w:rsid w:val="00B65F59"/>
    <w:rsid w:val="00B6715C"/>
    <w:rsid w:val="00B6781E"/>
    <w:rsid w:val="00B70553"/>
    <w:rsid w:val="00B70FA0"/>
    <w:rsid w:val="00B7131B"/>
    <w:rsid w:val="00B71CB9"/>
    <w:rsid w:val="00B72D1C"/>
    <w:rsid w:val="00B72E40"/>
    <w:rsid w:val="00B7302A"/>
    <w:rsid w:val="00B7357F"/>
    <w:rsid w:val="00B736D4"/>
    <w:rsid w:val="00B73E59"/>
    <w:rsid w:val="00B743E9"/>
    <w:rsid w:val="00B75A0A"/>
    <w:rsid w:val="00B765D6"/>
    <w:rsid w:val="00B773C5"/>
    <w:rsid w:val="00B80FBD"/>
    <w:rsid w:val="00B81822"/>
    <w:rsid w:val="00B84AED"/>
    <w:rsid w:val="00B871F8"/>
    <w:rsid w:val="00B87AB3"/>
    <w:rsid w:val="00B90F82"/>
    <w:rsid w:val="00B91F8D"/>
    <w:rsid w:val="00B92395"/>
    <w:rsid w:val="00B947EA"/>
    <w:rsid w:val="00B949A2"/>
    <w:rsid w:val="00B94A71"/>
    <w:rsid w:val="00B956CA"/>
    <w:rsid w:val="00B95888"/>
    <w:rsid w:val="00B961BC"/>
    <w:rsid w:val="00B96924"/>
    <w:rsid w:val="00B96EB3"/>
    <w:rsid w:val="00B97755"/>
    <w:rsid w:val="00B97785"/>
    <w:rsid w:val="00BA08C3"/>
    <w:rsid w:val="00BA0A7F"/>
    <w:rsid w:val="00BA144D"/>
    <w:rsid w:val="00BA281B"/>
    <w:rsid w:val="00BA29A1"/>
    <w:rsid w:val="00BA6AC9"/>
    <w:rsid w:val="00BA7495"/>
    <w:rsid w:val="00BB001E"/>
    <w:rsid w:val="00BB02BA"/>
    <w:rsid w:val="00BB0D79"/>
    <w:rsid w:val="00BB1FCC"/>
    <w:rsid w:val="00BB307F"/>
    <w:rsid w:val="00BB3585"/>
    <w:rsid w:val="00BB372E"/>
    <w:rsid w:val="00BB58A9"/>
    <w:rsid w:val="00BB62C5"/>
    <w:rsid w:val="00BB6EF9"/>
    <w:rsid w:val="00BB714F"/>
    <w:rsid w:val="00BB7AF7"/>
    <w:rsid w:val="00BB7FB9"/>
    <w:rsid w:val="00BC08B2"/>
    <w:rsid w:val="00BC0F1E"/>
    <w:rsid w:val="00BC24EC"/>
    <w:rsid w:val="00BC34DF"/>
    <w:rsid w:val="00BC353D"/>
    <w:rsid w:val="00BC42BC"/>
    <w:rsid w:val="00BC4873"/>
    <w:rsid w:val="00BC4996"/>
    <w:rsid w:val="00BC563B"/>
    <w:rsid w:val="00BC59A5"/>
    <w:rsid w:val="00BC5D0D"/>
    <w:rsid w:val="00BC6A20"/>
    <w:rsid w:val="00BC7DE2"/>
    <w:rsid w:val="00BD0615"/>
    <w:rsid w:val="00BD0618"/>
    <w:rsid w:val="00BD07BB"/>
    <w:rsid w:val="00BD0D45"/>
    <w:rsid w:val="00BD1D64"/>
    <w:rsid w:val="00BD29DF"/>
    <w:rsid w:val="00BD2BB9"/>
    <w:rsid w:val="00BD3F5B"/>
    <w:rsid w:val="00BD5934"/>
    <w:rsid w:val="00BD59AF"/>
    <w:rsid w:val="00BD5A32"/>
    <w:rsid w:val="00BD6A0F"/>
    <w:rsid w:val="00BD6D3A"/>
    <w:rsid w:val="00BD7D30"/>
    <w:rsid w:val="00BE0624"/>
    <w:rsid w:val="00BE0D79"/>
    <w:rsid w:val="00BE11E5"/>
    <w:rsid w:val="00BE22EC"/>
    <w:rsid w:val="00BE2393"/>
    <w:rsid w:val="00BE3F0E"/>
    <w:rsid w:val="00BE4294"/>
    <w:rsid w:val="00BE50C4"/>
    <w:rsid w:val="00BE60D6"/>
    <w:rsid w:val="00BE6575"/>
    <w:rsid w:val="00BE658D"/>
    <w:rsid w:val="00BE6FE7"/>
    <w:rsid w:val="00BE7B7A"/>
    <w:rsid w:val="00BF2222"/>
    <w:rsid w:val="00BF2E43"/>
    <w:rsid w:val="00BF3159"/>
    <w:rsid w:val="00BF34E4"/>
    <w:rsid w:val="00BF47DE"/>
    <w:rsid w:val="00BF4AB8"/>
    <w:rsid w:val="00BF60F6"/>
    <w:rsid w:val="00BF69EC"/>
    <w:rsid w:val="00BF78BE"/>
    <w:rsid w:val="00BF792D"/>
    <w:rsid w:val="00BF79FE"/>
    <w:rsid w:val="00BF7DB3"/>
    <w:rsid w:val="00C00CF5"/>
    <w:rsid w:val="00C01A7C"/>
    <w:rsid w:val="00C02596"/>
    <w:rsid w:val="00C03512"/>
    <w:rsid w:val="00C03764"/>
    <w:rsid w:val="00C0648F"/>
    <w:rsid w:val="00C06AB9"/>
    <w:rsid w:val="00C06E34"/>
    <w:rsid w:val="00C120C2"/>
    <w:rsid w:val="00C122E3"/>
    <w:rsid w:val="00C12B96"/>
    <w:rsid w:val="00C1427E"/>
    <w:rsid w:val="00C1499D"/>
    <w:rsid w:val="00C1621D"/>
    <w:rsid w:val="00C165AD"/>
    <w:rsid w:val="00C16733"/>
    <w:rsid w:val="00C16DF9"/>
    <w:rsid w:val="00C2014D"/>
    <w:rsid w:val="00C23A18"/>
    <w:rsid w:val="00C23AAA"/>
    <w:rsid w:val="00C24906"/>
    <w:rsid w:val="00C24FA2"/>
    <w:rsid w:val="00C256F4"/>
    <w:rsid w:val="00C266D2"/>
    <w:rsid w:val="00C2679A"/>
    <w:rsid w:val="00C26BB3"/>
    <w:rsid w:val="00C27314"/>
    <w:rsid w:val="00C30187"/>
    <w:rsid w:val="00C30685"/>
    <w:rsid w:val="00C31124"/>
    <w:rsid w:val="00C32592"/>
    <w:rsid w:val="00C342A3"/>
    <w:rsid w:val="00C35BC6"/>
    <w:rsid w:val="00C367EA"/>
    <w:rsid w:val="00C3764C"/>
    <w:rsid w:val="00C379B5"/>
    <w:rsid w:val="00C42A6B"/>
    <w:rsid w:val="00C437B3"/>
    <w:rsid w:val="00C43B98"/>
    <w:rsid w:val="00C43F98"/>
    <w:rsid w:val="00C4492C"/>
    <w:rsid w:val="00C454FF"/>
    <w:rsid w:val="00C46B0C"/>
    <w:rsid w:val="00C4712D"/>
    <w:rsid w:val="00C5058F"/>
    <w:rsid w:val="00C518B0"/>
    <w:rsid w:val="00C51D5E"/>
    <w:rsid w:val="00C533E1"/>
    <w:rsid w:val="00C538C8"/>
    <w:rsid w:val="00C544FE"/>
    <w:rsid w:val="00C5452C"/>
    <w:rsid w:val="00C54964"/>
    <w:rsid w:val="00C54A9D"/>
    <w:rsid w:val="00C54F12"/>
    <w:rsid w:val="00C550E0"/>
    <w:rsid w:val="00C56B69"/>
    <w:rsid w:val="00C5714A"/>
    <w:rsid w:val="00C60F19"/>
    <w:rsid w:val="00C61246"/>
    <w:rsid w:val="00C6147B"/>
    <w:rsid w:val="00C622AE"/>
    <w:rsid w:val="00C63FC9"/>
    <w:rsid w:val="00C646CB"/>
    <w:rsid w:val="00C64CBA"/>
    <w:rsid w:val="00C64DCE"/>
    <w:rsid w:val="00C67871"/>
    <w:rsid w:val="00C7357A"/>
    <w:rsid w:val="00C76A45"/>
    <w:rsid w:val="00C77CF4"/>
    <w:rsid w:val="00C801E9"/>
    <w:rsid w:val="00C80F01"/>
    <w:rsid w:val="00C80FBF"/>
    <w:rsid w:val="00C81E3D"/>
    <w:rsid w:val="00C8211C"/>
    <w:rsid w:val="00C82184"/>
    <w:rsid w:val="00C8260C"/>
    <w:rsid w:val="00C83577"/>
    <w:rsid w:val="00C838E6"/>
    <w:rsid w:val="00C83B13"/>
    <w:rsid w:val="00C83FC0"/>
    <w:rsid w:val="00C853E8"/>
    <w:rsid w:val="00C86906"/>
    <w:rsid w:val="00C8769B"/>
    <w:rsid w:val="00C87B0A"/>
    <w:rsid w:val="00C90C85"/>
    <w:rsid w:val="00C90E46"/>
    <w:rsid w:val="00C918EE"/>
    <w:rsid w:val="00C91B5B"/>
    <w:rsid w:val="00C921D7"/>
    <w:rsid w:val="00C929B0"/>
    <w:rsid w:val="00C93A37"/>
    <w:rsid w:val="00C93FF5"/>
    <w:rsid w:val="00C94B5D"/>
    <w:rsid w:val="00C94BA7"/>
    <w:rsid w:val="00C96B4F"/>
    <w:rsid w:val="00C96BBB"/>
    <w:rsid w:val="00C96CDA"/>
    <w:rsid w:val="00CA0BE1"/>
    <w:rsid w:val="00CA1769"/>
    <w:rsid w:val="00CA181A"/>
    <w:rsid w:val="00CA1FA0"/>
    <w:rsid w:val="00CA39B9"/>
    <w:rsid w:val="00CA60B5"/>
    <w:rsid w:val="00CA6219"/>
    <w:rsid w:val="00CA6660"/>
    <w:rsid w:val="00CA66E2"/>
    <w:rsid w:val="00CA6E73"/>
    <w:rsid w:val="00CB017F"/>
    <w:rsid w:val="00CB03ED"/>
    <w:rsid w:val="00CB1AA6"/>
    <w:rsid w:val="00CB291F"/>
    <w:rsid w:val="00CB37C5"/>
    <w:rsid w:val="00CB4A81"/>
    <w:rsid w:val="00CB51F7"/>
    <w:rsid w:val="00CB66D6"/>
    <w:rsid w:val="00CB7279"/>
    <w:rsid w:val="00CC078D"/>
    <w:rsid w:val="00CC247A"/>
    <w:rsid w:val="00CC3181"/>
    <w:rsid w:val="00CC328A"/>
    <w:rsid w:val="00CC43F1"/>
    <w:rsid w:val="00CC53EF"/>
    <w:rsid w:val="00CC5591"/>
    <w:rsid w:val="00CC5CF2"/>
    <w:rsid w:val="00CC702F"/>
    <w:rsid w:val="00CD09DD"/>
    <w:rsid w:val="00CD113F"/>
    <w:rsid w:val="00CD1816"/>
    <w:rsid w:val="00CD2613"/>
    <w:rsid w:val="00CD2B2E"/>
    <w:rsid w:val="00CD2D96"/>
    <w:rsid w:val="00CD341C"/>
    <w:rsid w:val="00CD3634"/>
    <w:rsid w:val="00CD5DB7"/>
    <w:rsid w:val="00CD6648"/>
    <w:rsid w:val="00CD6CA7"/>
    <w:rsid w:val="00CE0474"/>
    <w:rsid w:val="00CE0E57"/>
    <w:rsid w:val="00CE10A2"/>
    <w:rsid w:val="00CE2E2A"/>
    <w:rsid w:val="00CE2F0E"/>
    <w:rsid w:val="00CE3A0A"/>
    <w:rsid w:val="00CE5E94"/>
    <w:rsid w:val="00CE6CC1"/>
    <w:rsid w:val="00CE71C7"/>
    <w:rsid w:val="00CE73B6"/>
    <w:rsid w:val="00CF00C0"/>
    <w:rsid w:val="00CF011A"/>
    <w:rsid w:val="00CF14B1"/>
    <w:rsid w:val="00CF157A"/>
    <w:rsid w:val="00CF21CB"/>
    <w:rsid w:val="00CF295E"/>
    <w:rsid w:val="00CF2ECF"/>
    <w:rsid w:val="00CF3C0F"/>
    <w:rsid w:val="00CF40DE"/>
    <w:rsid w:val="00CF456C"/>
    <w:rsid w:val="00CF53A3"/>
    <w:rsid w:val="00CF6737"/>
    <w:rsid w:val="00CF7B30"/>
    <w:rsid w:val="00CF7B54"/>
    <w:rsid w:val="00D01133"/>
    <w:rsid w:val="00D01CEF"/>
    <w:rsid w:val="00D0219C"/>
    <w:rsid w:val="00D02E85"/>
    <w:rsid w:val="00D03829"/>
    <w:rsid w:val="00D04F15"/>
    <w:rsid w:val="00D05FCA"/>
    <w:rsid w:val="00D07DDE"/>
    <w:rsid w:val="00D107B7"/>
    <w:rsid w:val="00D114AF"/>
    <w:rsid w:val="00D118D4"/>
    <w:rsid w:val="00D13271"/>
    <w:rsid w:val="00D15AED"/>
    <w:rsid w:val="00D162E7"/>
    <w:rsid w:val="00D1743C"/>
    <w:rsid w:val="00D20D9F"/>
    <w:rsid w:val="00D260E8"/>
    <w:rsid w:val="00D2667B"/>
    <w:rsid w:val="00D3129E"/>
    <w:rsid w:val="00D31B56"/>
    <w:rsid w:val="00D31C81"/>
    <w:rsid w:val="00D31D38"/>
    <w:rsid w:val="00D3258A"/>
    <w:rsid w:val="00D34E99"/>
    <w:rsid w:val="00D40433"/>
    <w:rsid w:val="00D40817"/>
    <w:rsid w:val="00D40E19"/>
    <w:rsid w:val="00D41410"/>
    <w:rsid w:val="00D41709"/>
    <w:rsid w:val="00D41EC4"/>
    <w:rsid w:val="00D43392"/>
    <w:rsid w:val="00D4342C"/>
    <w:rsid w:val="00D4364C"/>
    <w:rsid w:val="00D445FE"/>
    <w:rsid w:val="00D448B1"/>
    <w:rsid w:val="00D465C5"/>
    <w:rsid w:val="00D46C06"/>
    <w:rsid w:val="00D46CAC"/>
    <w:rsid w:val="00D4727E"/>
    <w:rsid w:val="00D47DCC"/>
    <w:rsid w:val="00D50C7D"/>
    <w:rsid w:val="00D51662"/>
    <w:rsid w:val="00D525A9"/>
    <w:rsid w:val="00D53137"/>
    <w:rsid w:val="00D5380A"/>
    <w:rsid w:val="00D53DAF"/>
    <w:rsid w:val="00D53EF6"/>
    <w:rsid w:val="00D55788"/>
    <w:rsid w:val="00D55AC9"/>
    <w:rsid w:val="00D57E23"/>
    <w:rsid w:val="00D61DC3"/>
    <w:rsid w:val="00D62739"/>
    <w:rsid w:val="00D6378F"/>
    <w:rsid w:val="00D637AC"/>
    <w:rsid w:val="00D655B8"/>
    <w:rsid w:val="00D66351"/>
    <w:rsid w:val="00D66625"/>
    <w:rsid w:val="00D70936"/>
    <w:rsid w:val="00D7115A"/>
    <w:rsid w:val="00D7315A"/>
    <w:rsid w:val="00D7436B"/>
    <w:rsid w:val="00D74618"/>
    <w:rsid w:val="00D7468F"/>
    <w:rsid w:val="00D7525C"/>
    <w:rsid w:val="00D76599"/>
    <w:rsid w:val="00D77264"/>
    <w:rsid w:val="00D77661"/>
    <w:rsid w:val="00D80CCA"/>
    <w:rsid w:val="00D81763"/>
    <w:rsid w:val="00D8228B"/>
    <w:rsid w:val="00D82B21"/>
    <w:rsid w:val="00D840E1"/>
    <w:rsid w:val="00D85093"/>
    <w:rsid w:val="00D86231"/>
    <w:rsid w:val="00D90D4D"/>
    <w:rsid w:val="00D9167A"/>
    <w:rsid w:val="00D9169D"/>
    <w:rsid w:val="00D91AED"/>
    <w:rsid w:val="00D92758"/>
    <w:rsid w:val="00D936E8"/>
    <w:rsid w:val="00D93768"/>
    <w:rsid w:val="00D94DBD"/>
    <w:rsid w:val="00D95489"/>
    <w:rsid w:val="00D963CE"/>
    <w:rsid w:val="00D97708"/>
    <w:rsid w:val="00D97D11"/>
    <w:rsid w:val="00DA1755"/>
    <w:rsid w:val="00DA33A6"/>
    <w:rsid w:val="00DA3AAF"/>
    <w:rsid w:val="00DA41D5"/>
    <w:rsid w:val="00DA4451"/>
    <w:rsid w:val="00DA4605"/>
    <w:rsid w:val="00DA469D"/>
    <w:rsid w:val="00DA4B2C"/>
    <w:rsid w:val="00DA4BE6"/>
    <w:rsid w:val="00DA4D36"/>
    <w:rsid w:val="00DA6585"/>
    <w:rsid w:val="00DA73F3"/>
    <w:rsid w:val="00DB1CD2"/>
    <w:rsid w:val="00DB35A6"/>
    <w:rsid w:val="00DB375B"/>
    <w:rsid w:val="00DB4AB6"/>
    <w:rsid w:val="00DB4C8A"/>
    <w:rsid w:val="00DB5510"/>
    <w:rsid w:val="00DB57ED"/>
    <w:rsid w:val="00DB65ED"/>
    <w:rsid w:val="00DB6837"/>
    <w:rsid w:val="00DB7B58"/>
    <w:rsid w:val="00DC00CD"/>
    <w:rsid w:val="00DC14F2"/>
    <w:rsid w:val="00DC4446"/>
    <w:rsid w:val="00DC4951"/>
    <w:rsid w:val="00DC52A7"/>
    <w:rsid w:val="00DC5A8F"/>
    <w:rsid w:val="00DC7927"/>
    <w:rsid w:val="00DD00FC"/>
    <w:rsid w:val="00DD0E0C"/>
    <w:rsid w:val="00DD26FB"/>
    <w:rsid w:val="00DD2D2D"/>
    <w:rsid w:val="00DD328A"/>
    <w:rsid w:val="00DD5058"/>
    <w:rsid w:val="00DE1E87"/>
    <w:rsid w:val="00DE2629"/>
    <w:rsid w:val="00DE379D"/>
    <w:rsid w:val="00DE3DDC"/>
    <w:rsid w:val="00DE4894"/>
    <w:rsid w:val="00DE50D5"/>
    <w:rsid w:val="00DE5CCD"/>
    <w:rsid w:val="00DE67E7"/>
    <w:rsid w:val="00DE6C87"/>
    <w:rsid w:val="00DE7655"/>
    <w:rsid w:val="00DF16FA"/>
    <w:rsid w:val="00DF298D"/>
    <w:rsid w:val="00DF3B3B"/>
    <w:rsid w:val="00DF4060"/>
    <w:rsid w:val="00DF4743"/>
    <w:rsid w:val="00DF5808"/>
    <w:rsid w:val="00DF5EB7"/>
    <w:rsid w:val="00DF6602"/>
    <w:rsid w:val="00DF717D"/>
    <w:rsid w:val="00DF79EE"/>
    <w:rsid w:val="00E00AD3"/>
    <w:rsid w:val="00E02461"/>
    <w:rsid w:val="00E0256F"/>
    <w:rsid w:val="00E0375D"/>
    <w:rsid w:val="00E03C0F"/>
    <w:rsid w:val="00E04FCF"/>
    <w:rsid w:val="00E06B43"/>
    <w:rsid w:val="00E0738E"/>
    <w:rsid w:val="00E11968"/>
    <w:rsid w:val="00E11BDE"/>
    <w:rsid w:val="00E12BCD"/>
    <w:rsid w:val="00E14B35"/>
    <w:rsid w:val="00E15A10"/>
    <w:rsid w:val="00E15E47"/>
    <w:rsid w:val="00E172D9"/>
    <w:rsid w:val="00E17F70"/>
    <w:rsid w:val="00E17FFB"/>
    <w:rsid w:val="00E20185"/>
    <w:rsid w:val="00E21EDA"/>
    <w:rsid w:val="00E22855"/>
    <w:rsid w:val="00E26D3C"/>
    <w:rsid w:val="00E27D13"/>
    <w:rsid w:val="00E27F68"/>
    <w:rsid w:val="00E30AE9"/>
    <w:rsid w:val="00E31533"/>
    <w:rsid w:val="00E31ECA"/>
    <w:rsid w:val="00E3250E"/>
    <w:rsid w:val="00E326FB"/>
    <w:rsid w:val="00E3377A"/>
    <w:rsid w:val="00E346D3"/>
    <w:rsid w:val="00E3475D"/>
    <w:rsid w:val="00E34863"/>
    <w:rsid w:val="00E34AB9"/>
    <w:rsid w:val="00E35B2F"/>
    <w:rsid w:val="00E3666F"/>
    <w:rsid w:val="00E37816"/>
    <w:rsid w:val="00E37A8E"/>
    <w:rsid w:val="00E40926"/>
    <w:rsid w:val="00E410A4"/>
    <w:rsid w:val="00E41FB9"/>
    <w:rsid w:val="00E42827"/>
    <w:rsid w:val="00E4363B"/>
    <w:rsid w:val="00E4450A"/>
    <w:rsid w:val="00E452CA"/>
    <w:rsid w:val="00E459D3"/>
    <w:rsid w:val="00E46316"/>
    <w:rsid w:val="00E468E6"/>
    <w:rsid w:val="00E46900"/>
    <w:rsid w:val="00E46E61"/>
    <w:rsid w:val="00E47919"/>
    <w:rsid w:val="00E50AEF"/>
    <w:rsid w:val="00E51D6B"/>
    <w:rsid w:val="00E52377"/>
    <w:rsid w:val="00E52E0F"/>
    <w:rsid w:val="00E53490"/>
    <w:rsid w:val="00E534AB"/>
    <w:rsid w:val="00E53CAA"/>
    <w:rsid w:val="00E54C3E"/>
    <w:rsid w:val="00E5515F"/>
    <w:rsid w:val="00E56DA7"/>
    <w:rsid w:val="00E579CD"/>
    <w:rsid w:val="00E617C8"/>
    <w:rsid w:val="00E62D1B"/>
    <w:rsid w:val="00E62E70"/>
    <w:rsid w:val="00E635C4"/>
    <w:rsid w:val="00E6421D"/>
    <w:rsid w:val="00E6513A"/>
    <w:rsid w:val="00E6531A"/>
    <w:rsid w:val="00E661B8"/>
    <w:rsid w:val="00E662CC"/>
    <w:rsid w:val="00E66E0A"/>
    <w:rsid w:val="00E6711F"/>
    <w:rsid w:val="00E67D4A"/>
    <w:rsid w:val="00E702EB"/>
    <w:rsid w:val="00E70A90"/>
    <w:rsid w:val="00E711BD"/>
    <w:rsid w:val="00E71A22"/>
    <w:rsid w:val="00E734DB"/>
    <w:rsid w:val="00E73623"/>
    <w:rsid w:val="00E73636"/>
    <w:rsid w:val="00E738DC"/>
    <w:rsid w:val="00E74437"/>
    <w:rsid w:val="00E74591"/>
    <w:rsid w:val="00E748E4"/>
    <w:rsid w:val="00E758CA"/>
    <w:rsid w:val="00E7656B"/>
    <w:rsid w:val="00E76663"/>
    <w:rsid w:val="00E76B76"/>
    <w:rsid w:val="00E80067"/>
    <w:rsid w:val="00E80C79"/>
    <w:rsid w:val="00E82252"/>
    <w:rsid w:val="00E835AA"/>
    <w:rsid w:val="00E83A43"/>
    <w:rsid w:val="00E841E6"/>
    <w:rsid w:val="00E851E6"/>
    <w:rsid w:val="00E85BD4"/>
    <w:rsid w:val="00E85EEA"/>
    <w:rsid w:val="00E860E1"/>
    <w:rsid w:val="00E908E4"/>
    <w:rsid w:val="00E91A19"/>
    <w:rsid w:val="00E91FC5"/>
    <w:rsid w:val="00E92D73"/>
    <w:rsid w:val="00E93003"/>
    <w:rsid w:val="00E9337D"/>
    <w:rsid w:val="00E9553B"/>
    <w:rsid w:val="00E95E70"/>
    <w:rsid w:val="00E96244"/>
    <w:rsid w:val="00EA01E2"/>
    <w:rsid w:val="00EA022E"/>
    <w:rsid w:val="00EA05A2"/>
    <w:rsid w:val="00EA0DD9"/>
    <w:rsid w:val="00EA1DC3"/>
    <w:rsid w:val="00EA257D"/>
    <w:rsid w:val="00EA268E"/>
    <w:rsid w:val="00EA396B"/>
    <w:rsid w:val="00EA3C56"/>
    <w:rsid w:val="00EA401B"/>
    <w:rsid w:val="00EA5F2D"/>
    <w:rsid w:val="00EA7DA8"/>
    <w:rsid w:val="00EA7DD4"/>
    <w:rsid w:val="00EB07AB"/>
    <w:rsid w:val="00EB0B7A"/>
    <w:rsid w:val="00EB11C7"/>
    <w:rsid w:val="00EB1BE8"/>
    <w:rsid w:val="00EB2381"/>
    <w:rsid w:val="00EB26CE"/>
    <w:rsid w:val="00EB2D8E"/>
    <w:rsid w:val="00EB370E"/>
    <w:rsid w:val="00EB38C3"/>
    <w:rsid w:val="00EB5876"/>
    <w:rsid w:val="00EB620A"/>
    <w:rsid w:val="00EB7732"/>
    <w:rsid w:val="00EC0339"/>
    <w:rsid w:val="00EC13D9"/>
    <w:rsid w:val="00EC1909"/>
    <w:rsid w:val="00EC1976"/>
    <w:rsid w:val="00EC2BFC"/>
    <w:rsid w:val="00EC3396"/>
    <w:rsid w:val="00EC75EB"/>
    <w:rsid w:val="00ED1EEF"/>
    <w:rsid w:val="00ED2DFD"/>
    <w:rsid w:val="00ED3B45"/>
    <w:rsid w:val="00ED3ECB"/>
    <w:rsid w:val="00ED4BE5"/>
    <w:rsid w:val="00ED5435"/>
    <w:rsid w:val="00ED7851"/>
    <w:rsid w:val="00EE05E8"/>
    <w:rsid w:val="00EE0808"/>
    <w:rsid w:val="00EE09AC"/>
    <w:rsid w:val="00EE1079"/>
    <w:rsid w:val="00EE10C8"/>
    <w:rsid w:val="00EE18E7"/>
    <w:rsid w:val="00EE1A76"/>
    <w:rsid w:val="00EE26B3"/>
    <w:rsid w:val="00EE3DD6"/>
    <w:rsid w:val="00EE412D"/>
    <w:rsid w:val="00EE4359"/>
    <w:rsid w:val="00EE43CD"/>
    <w:rsid w:val="00EE456B"/>
    <w:rsid w:val="00EE545D"/>
    <w:rsid w:val="00EE60F9"/>
    <w:rsid w:val="00EE639C"/>
    <w:rsid w:val="00EE6488"/>
    <w:rsid w:val="00EE79E7"/>
    <w:rsid w:val="00EF084A"/>
    <w:rsid w:val="00EF1464"/>
    <w:rsid w:val="00EF1BD1"/>
    <w:rsid w:val="00EF1D1F"/>
    <w:rsid w:val="00EF4050"/>
    <w:rsid w:val="00EF47EE"/>
    <w:rsid w:val="00EF5888"/>
    <w:rsid w:val="00EF588D"/>
    <w:rsid w:val="00EF621F"/>
    <w:rsid w:val="00EF6995"/>
    <w:rsid w:val="00EF73DD"/>
    <w:rsid w:val="00EF78C7"/>
    <w:rsid w:val="00EF7B70"/>
    <w:rsid w:val="00F001C2"/>
    <w:rsid w:val="00F02B0C"/>
    <w:rsid w:val="00F04226"/>
    <w:rsid w:val="00F043A2"/>
    <w:rsid w:val="00F0444A"/>
    <w:rsid w:val="00F06166"/>
    <w:rsid w:val="00F06EC0"/>
    <w:rsid w:val="00F1009B"/>
    <w:rsid w:val="00F10D2E"/>
    <w:rsid w:val="00F112CE"/>
    <w:rsid w:val="00F12444"/>
    <w:rsid w:val="00F124B1"/>
    <w:rsid w:val="00F1427E"/>
    <w:rsid w:val="00F150EE"/>
    <w:rsid w:val="00F16548"/>
    <w:rsid w:val="00F1661F"/>
    <w:rsid w:val="00F16BD1"/>
    <w:rsid w:val="00F17F57"/>
    <w:rsid w:val="00F224C3"/>
    <w:rsid w:val="00F22B0D"/>
    <w:rsid w:val="00F22EC9"/>
    <w:rsid w:val="00F230D8"/>
    <w:rsid w:val="00F24960"/>
    <w:rsid w:val="00F24B99"/>
    <w:rsid w:val="00F2509C"/>
    <w:rsid w:val="00F256F1"/>
    <w:rsid w:val="00F25994"/>
    <w:rsid w:val="00F25D86"/>
    <w:rsid w:val="00F2613F"/>
    <w:rsid w:val="00F270A3"/>
    <w:rsid w:val="00F27C2E"/>
    <w:rsid w:val="00F33048"/>
    <w:rsid w:val="00F338C5"/>
    <w:rsid w:val="00F373B3"/>
    <w:rsid w:val="00F402A9"/>
    <w:rsid w:val="00F4148F"/>
    <w:rsid w:val="00F42813"/>
    <w:rsid w:val="00F4293E"/>
    <w:rsid w:val="00F42942"/>
    <w:rsid w:val="00F4344E"/>
    <w:rsid w:val="00F44283"/>
    <w:rsid w:val="00F453D2"/>
    <w:rsid w:val="00F46CD9"/>
    <w:rsid w:val="00F47ED5"/>
    <w:rsid w:val="00F50857"/>
    <w:rsid w:val="00F519C8"/>
    <w:rsid w:val="00F5204B"/>
    <w:rsid w:val="00F52234"/>
    <w:rsid w:val="00F5240F"/>
    <w:rsid w:val="00F537DA"/>
    <w:rsid w:val="00F537DB"/>
    <w:rsid w:val="00F53F5D"/>
    <w:rsid w:val="00F56A9D"/>
    <w:rsid w:val="00F6047B"/>
    <w:rsid w:val="00F606A6"/>
    <w:rsid w:val="00F61C60"/>
    <w:rsid w:val="00F621E6"/>
    <w:rsid w:val="00F627BA"/>
    <w:rsid w:val="00F63D8C"/>
    <w:rsid w:val="00F63E52"/>
    <w:rsid w:val="00F643A6"/>
    <w:rsid w:val="00F648C8"/>
    <w:rsid w:val="00F64DAA"/>
    <w:rsid w:val="00F67311"/>
    <w:rsid w:val="00F67E9B"/>
    <w:rsid w:val="00F71D06"/>
    <w:rsid w:val="00F71FDE"/>
    <w:rsid w:val="00F72061"/>
    <w:rsid w:val="00F72AB4"/>
    <w:rsid w:val="00F73458"/>
    <w:rsid w:val="00F755B7"/>
    <w:rsid w:val="00F759F3"/>
    <w:rsid w:val="00F768A2"/>
    <w:rsid w:val="00F76905"/>
    <w:rsid w:val="00F76C18"/>
    <w:rsid w:val="00F7705D"/>
    <w:rsid w:val="00F779E6"/>
    <w:rsid w:val="00F801FA"/>
    <w:rsid w:val="00F803A7"/>
    <w:rsid w:val="00F805B5"/>
    <w:rsid w:val="00F81348"/>
    <w:rsid w:val="00F818BE"/>
    <w:rsid w:val="00F824B1"/>
    <w:rsid w:val="00F82BBD"/>
    <w:rsid w:val="00F83373"/>
    <w:rsid w:val="00F83819"/>
    <w:rsid w:val="00F83DDB"/>
    <w:rsid w:val="00F86099"/>
    <w:rsid w:val="00F86A3A"/>
    <w:rsid w:val="00F9008A"/>
    <w:rsid w:val="00F904ED"/>
    <w:rsid w:val="00F90D99"/>
    <w:rsid w:val="00F91601"/>
    <w:rsid w:val="00F921B7"/>
    <w:rsid w:val="00F9380B"/>
    <w:rsid w:val="00F954C4"/>
    <w:rsid w:val="00F958AA"/>
    <w:rsid w:val="00F95AAB"/>
    <w:rsid w:val="00F95C33"/>
    <w:rsid w:val="00F96250"/>
    <w:rsid w:val="00F978FE"/>
    <w:rsid w:val="00F97D85"/>
    <w:rsid w:val="00FA162D"/>
    <w:rsid w:val="00FA1F77"/>
    <w:rsid w:val="00FA30E1"/>
    <w:rsid w:val="00FA437C"/>
    <w:rsid w:val="00FA45BC"/>
    <w:rsid w:val="00FA4EEE"/>
    <w:rsid w:val="00FA5EAF"/>
    <w:rsid w:val="00FA5F7F"/>
    <w:rsid w:val="00FA6AD4"/>
    <w:rsid w:val="00FA7642"/>
    <w:rsid w:val="00FB092B"/>
    <w:rsid w:val="00FB0A1F"/>
    <w:rsid w:val="00FB16A7"/>
    <w:rsid w:val="00FB1F48"/>
    <w:rsid w:val="00FB25B1"/>
    <w:rsid w:val="00FB2E74"/>
    <w:rsid w:val="00FB38AC"/>
    <w:rsid w:val="00FB3BE6"/>
    <w:rsid w:val="00FB4229"/>
    <w:rsid w:val="00FB56FB"/>
    <w:rsid w:val="00FB6335"/>
    <w:rsid w:val="00FB685C"/>
    <w:rsid w:val="00FB7179"/>
    <w:rsid w:val="00FB7966"/>
    <w:rsid w:val="00FC11E6"/>
    <w:rsid w:val="00FC2254"/>
    <w:rsid w:val="00FC233D"/>
    <w:rsid w:val="00FC2A1E"/>
    <w:rsid w:val="00FC310E"/>
    <w:rsid w:val="00FC367D"/>
    <w:rsid w:val="00FC698F"/>
    <w:rsid w:val="00FD0F3F"/>
    <w:rsid w:val="00FD13C9"/>
    <w:rsid w:val="00FD35F8"/>
    <w:rsid w:val="00FD3EC0"/>
    <w:rsid w:val="00FD61E3"/>
    <w:rsid w:val="00FD679E"/>
    <w:rsid w:val="00FD6DDD"/>
    <w:rsid w:val="00FD729A"/>
    <w:rsid w:val="00FD7C5C"/>
    <w:rsid w:val="00FE0D60"/>
    <w:rsid w:val="00FE30B5"/>
    <w:rsid w:val="00FE5C23"/>
    <w:rsid w:val="00FE77F3"/>
    <w:rsid w:val="00FE7BF1"/>
    <w:rsid w:val="00FE7C6E"/>
    <w:rsid w:val="00FF0868"/>
    <w:rsid w:val="00FF0DE4"/>
    <w:rsid w:val="00FF0FB3"/>
    <w:rsid w:val="00FF1415"/>
    <w:rsid w:val="00FF1584"/>
    <w:rsid w:val="00FF3678"/>
    <w:rsid w:val="00FF389E"/>
    <w:rsid w:val="00FF3D38"/>
    <w:rsid w:val="00FF6921"/>
    <w:rsid w:val="00FF7197"/>
    <w:rsid w:val="00FF7613"/>
    <w:rsid w:val="00FF7884"/>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f"/>
    </o:shapedefaults>
    <o:shapelayout v:ext="edit">
      <o:idmap v:ext="edit" data="2"/>
    </o:shapelayout>
  </w:shapeDefaults>
  <w:decimalSymbol w:val="."/>
  <w:listSeparator w:val=","/>
  <w14:docId w14:val="24F23330"/>
  <w15:docId w15:val="{E084F9C1-6E07-4160-9995-360CA6F3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1F"/>
  </w:style>
  <w:style w:type="paragraph" w:styleId="Heading5">
    <w:name w:val="heading 5"/>
    <w:basedOn w:val="Normal"/>
    <w:next w:val="Normal"/>
    <w:link w:val="Heading5Char"/>
    <w:uiPriority w:val="9"/>
    <w:semiHidden/>
    <w:unhideWhenUsed/>
    <w:qFormat/>
    <w:rsid w:val="00B21C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19"/>
    <w:pPr>
      <w:ind w:left="720"/>
      <w:contextualSpacing/>
    </w:pPr>
  </w:style>
  <w:style w:type="character" w:styleId="Hyperlink">
    <w:name w:val="Hyperlink"/>
    <w:basedOn w:val="DefaultParagraphFont"/>
    <w:uiPriority w:val="99"/>
    <w:unhideWhenUsed/>
    <w:rsid w:val="0063478D"/>
    <w:rPr>
      <w:color w:val="0563C1" w:themeColor="hyperlink"/>
      <w:u w:val="single"/>
    </w:rPr>
  </w:style>
  <w:style w:type="numbering" w:customStyle="1" w:styleId="Style1">
    <w:name w:val="Style1"/>
    <w:uiPriority w:val="99"/>
    <w:rsid w:val="008361D5"/>
    <w:pPr>
      <w:numPr>
        <w:numId w:val="1"/>
      </w:numPr>
    </w:pPr>
  </w:style>
  <w:style w:type="character" w:styleId="FollowedHyperlink">
    <w:name w:val="FollowedHyperlink"/>
    <w:basedOn w:val="DefaultParagraphFont"/>
    <w:uiPriority w:val="99"/>
    <w:semiHidden/>
    <w:unhideWhenUsed/>
    <w:rsid w:val="00B3684E"/>
    <w:rPr>
      <w:color w:val="954F72" w:themeColor="followedHyperlink"/>
      <w:u w:val="single"/>
    </w:rPr>
  </w:style>
  <w:style w:type="paragraph" w:styleId="BalloonText">
    <w:name w:val="Balloon Text"/>
    <w:basedOn w:val="Normal"/>
    <w:link w:val="BalloonTextChar"/>
    <w:uiPriority w:val="99"/>
    <w:semiHidden/>
    <w:unhideWhenUsed/>
    <w:rsid w:val="00FA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2D"/>
    <w:rPr>
      <w:rFonts w:ascii="Tahoma" w:hAnsi="Tahoma" w:cs="Tahoma"/>
      <w:sz w:val="16"/>
      <w:szCs w:val="16"/>
    </w:rPr>
  </w:style>
  <w:style w:type="paragraph" w:styleId="Header">
    <w:name w:val="header"/>
    <w:basedOn w:val="Normal"/>
    <w:link w:val="HeaderChar"/>
    <w:uiPriority w:val="99"/>
    <w:unhideWhenUsed/>
    <w:rsid w:val="00C9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5B"/>
  </w:style>
  <w:style w:type="paragraph" w:styleId="Footer">
    <w:name w:val="footer"/>
    <w:basedOn w:val="Normal"/>
    <w:link w:val="FooterChar"/>
    <w:uiPriority w:val="99"/>
    <w:unhideWhenUsed/>
    <w:rsid w:val="00C9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5B"/>
  </w:style>
  <w:style w:type="paragraph" w:styleId="Revision">
    <w:name w:val="Revision"/>
    <w:hidden/>
    <w:uiPriority w:val="99"/>
    <w:semiHidden/>
    <w:rsid w:val="009D68E9"/>
    <w:pPr>
      <w:spacing w:after="0" w:line="240" w:lineRule="auto"/>
    </w:pPr>
  </w:style>
  <w:style w:type="character" w:styleId="CommentReference">
    <w:name w:val="annotation reference"/>
    <w:basedOn w:val="DefaultParagraphFont"/>
    <w:uiPriority w:val="99"/>
    <w:semiHidden/>
    <w:unhideWhenUsed/>
    <w:rsid w:val="00673921"/>
    <w:rPr>
      <w:sz w:val="16"/>
      <w:szCs w:val="16"/>
    </w:rPr>
  </w:style>
  <w:style w:type="paragraph" w:styleId="CommentText">
    <w:name w:val="annotation text"/>
    <w:basedOn w:val="Normal"/>
    <w:link w:val="CommentTextChar"/>
    <w:uiPriority w:val="99"/>
    <w:semiHidden/>
    <w:unhideWhenUsed/>
    <w:rsid w:val="00673921"/>
    <w:pPr>
      <w:spacing w:line="240" w:lineRule="auto"/>
    </w:pPr>
    <w:rPr>
      <w:sz w:val="20"/>
      <w:szCs w:val="20"/>
    </w:rPr>
  </w:style>
  <w:style w:type="character" w:customStyle="1" w:styleId="CommentTextChar">
    <w:name w:val="Comment Text Char"/>
    <w:basedOn w:val="DefaultParagraphFont"/>
    <w:link w:val="CommentText"/>
    <w:uiPriority w:val="99"/>
    <w:semiHidden/>
    <w:rsid w:val="00673921"/>
    <w:rPr>
      <w:sz w:val="20"/>
      <w:szCs w:val="20"/>
    </w:rPr>
  </w:style>
  <w:style w:type="paragraph" w:styleId="CommentSubject">
    <w:name w:val="annotation subject"/>
    <w:basedOn w:val="CommentText"/>
    <w:next w:val="CommentText"/>
    <w:link w:val="CommentSubjectChar"/>
    <w:uiPriority w:val="99"/>
    <w:semiHidden/>
    <w:unhideWhenUsed/>
    <w:rsid w:val="00673921"/>
    <w:rPr>
      <w:b/>
      <w:bCs/>
    </w:rPr>
  </w:style>
  <w:style w:type="character" w:customStyle="1" w:styleId="CommentSubjectChar">
    <w:name w:val="Comment Subject Char"/>
    <w:basedOn w:val="CommentTextChar"/>
    <w:link w:val="CommentSubject"/>
    <w:uiPriority w:val="99"/>
    <w:semiHidden/>
    <w:rsid w:val="00673921"/>
    <w:rPr>
      <w:b/>
      <w:bCs/>
      <w:sz w:val="20"/>
      <w:szCs w:val="20"/>
    </w:rPr>
  </w:style>
  <w:style w:type="paragraph" w:customStyle="1" w:styleId="MinuteNoAlt2">
    <w:name w:val="Minute No. Alt2"/>
    <w:link w:val="MinuteNoAlt2Char"/>
    <w:rsid w:val="000E5084"/>
    <w:pPr>
      <w:spacing w:before="144" w:after="144" w:line="240" w:lineRule="auto"/>
      <w:ind w:left="1728" w:hanging="1728"/>
      <w:jc w:val="both"/>
    </w:pPr>
    <w:rPr>
      <w:rFonts w:ascii="Arial" w:eastAsia="Times New Roman" w:hAnsi="Arial" w:cs="Times New Roman"/>
      <w:b/>
      <w:caps/>
      <w:color w:val="000000"/>
      <w:sz w:val="24"/>
      <w:szCs w:val="20"/>
    </w:rPr>
  </w:style>
  <w:style w:type="character" w:customStyle="1" w:styleId="MinuteNoAlt2Char">
    <w:name w:val="Minute No. Alt2 Char"/>
    <w:link w:val="MinuteNoAlt2"/>
    <w:rsid w:val="000E5084"/>
    <w:rPr>
      <w:rFonts w:ascii="Arial" w:eastAsia="Times New Roman" w:hAnsi="Arial" w:cs="Times New Roman"/>
      <w:b/>
      <w:caps/>
      <w:color w:val="000000"/>
      <w:sz w:val="24"/>
      <w:szCs w:val="20"/>
    </w:rPr>
  </w:style>
  <w:style w:type="paragraph" w:styleId="NormalWeb">
    <w:name w:val="Normal (Web)"/>
    <w:basedOn w:val="Normal"/>
    <w:uiPriority w:val="99"/>
    <w:unhideWhenUsed/>
    <w:rsid w:val="008E13E1"/>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86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C85"/>
    <w:pPr>
      <w:autoSpaceDE w:val="0"/>
      <w:autoSpaceDN w:val="0"/>
      <w:adjustRightInd w:val="0"/>
      <w:spacing w:after="160" w:line="259" w:lineRule="auto"/>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F0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FB3"/>
    <w:rPr>
      <w:sz w:val="20"/>
      <w:szCs w:val="20"/>
    </w:rPr>
  </w:style>
  <w:style w:type="character" w:styleId="FootnoteReference">
    <w:name w:val="footnote reference"/>
    <w:basedOn w:val="DefaultParagraphFont"/>
    <w:uiPriority w:val="99"/>
    <w:semiHidden/>
    <w:unhideWhenUsed/>
    <w:rsid w:val="00FF0FB3"/>
    <w:rPr>
      <w:vertAlign w:val="superscript"/>
    </w:rPr>
  </w:style>
  <w:style w:type="character" w:customStyle="1" w:styleId="UnresolvedMention1">
    <w:name w:val="Unresolved Mention1"/>
    <w:basedOn w:val="DefaultParagraphFont"/>
    <w:uiPriority w:val="99"/>
    <w:semiHidden/>
    <w:unhideWhenUsed/>
    <w:rsid w:val="00124507"/>
    <w:rPr>
      <w:color w:val="605E5C"/>
      <w:shd w:val="clear" w:color="auto" w:fill="E1DFDD"/>
    </w:rPr>
  </w:style>
  <w:style w:type="character" w:styleId="UnresolvedMention">
    <w:name w:val="Unresolved Mention"/>
    <w:basedOn w:val="DefaultParagraphFont"/>
    <w:uiPriority w:val="99"/>
    <w:semiHidden/>
    <w:unhideWhenUsed/>
    <w:rsid w:val="00EE26B3"/>
    <w:rPr>
      <w:color w:val="605E5C"/>
      <w:shd w:val="clear" w:color="auto" w:fill="E1DFDD"/>
    </w:rPr>
  </w:style>
  <w:style w:type="character" w:customStyle="1" w:styleId="Heading5Char">
    <w:name w:val="Heading 5 Char"/>
    <w:basedOn w:val="DefaultParagraphFont"/>
    <w:link w:val="Heading5"/>
    <w:uiPriority w:val="9"/>
    <w:semiHidden/>
    <w:rsid w:val="00B21C0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1210">
      <w:bodyDiv w:val="1"/>
      <w:marLeft w:val="0"/>
      <w:marRight w:val="0"/>
      <w:marTop w:val="0"/>
      <w:marBottom w:val="0"/>
      <w:divBdr>
        <w:top w:val="none" w:sz="0" w:space="0" w:color="auto"/>
        <w:left w:val="none" w:sz="0" w:space="0" w:color="auto"/>
        <w:bottom w:val="none" w:sz="0" w:space="0" w:color="auto"/>
        <w:right w:val="none" w:sz="0" w:space="0" w:color="auto"/>
      </w:divBdr>
    </w:div>
    <w:div w:id="104270694">
      <w:bodyDiv w:val="1"/>
      <w:marLeft w:val="0"/>
      <w:marRight w:val="0"/>
      <w:marTop w:val="0"/>
      <w:marBottom w:val="0"/>
      <w:divBdr>
        <w:top w:val="none" w:sz="0" w:space="0" w:color="auto"/>
        <w:left w:val="none" w:sz="0" w:space="0" w:color="auto"/>
        <w:bottom w:val="none" w:sz="0" w:space="0" w:color="auto"/>
        <w:right w:val="none" w:sz="0" w:space="0" w:color="auto"/>
      </w:divBdr>
    </w:div>
    <w:div w:id="140461492">
      <w:bodyDiv w:val="1"/>
      <w:marLeft w:val="0"/>
      <w:marRight w:val="0"/>
      <w:marTop w:val="0"/>
      <w:marBottom w:val="0"/>
      <w:divBdr>
        <w:top w:val="none" w:sz="0" w:space="0" w:color="auto"/>
        <w:left w:val="none" w:sz="0" w:space="0" w:color="auto"/>
        <w:bottom w:val="none" w:sz="0" w:space="0" w:color="auto"/>
        <w:right w:val="none" w:sz="0" w:space="0" w:color="auto"/>
      </w:divBdr>
    </w:div>
    <w:div w:id="214240936">
      <w:bodyDiv w:val="1"/>
      <w:marLeft w:val="0"/>
      <w:marRight w:val="0"/>
      <w:marTop w:val="0"/>
      <w:marBottom w:val="0"/>
      <w:divBdr>
        <w:top w:val="none" w:sz="0" w:space="0" w:color="auto"/>
        <w:left w:val="none" w:sz="0" w:space="0" w:color="auto"/>
        <w:bottom w:val="none" w:sz="0" w:space="0" w:color="auto"/>
        <w:right w:val="none" w:sz="0" w:space="0" w:color="auto"/>
      </w:divBdr>
    </w:div>
    <w:div w:id="245503088">
      <w:bodyDiv w:val="1"/>
      <w:marLeft w:val="0"/>
      <w:marRight w:val="0"/>
      <w:marTop w:val="0"/>
      <w:marBottom w:val="0"/>
      <w:divBdr>
        <w:top w:val="none" w:sz="0" w:space="0" w:color="auto"/>
        <w:left w:val="none" w:sz="0" w:space="0" w:color="auto"/>
        <w:bottom w:val="none" w:sz="0" w:space="0" w:color="auto"/>
        <w:right w:val="none" w:sz="0" w:space="0" w:color="auto"/>
      </w:divBdr>
    </w:div>
    <w:div w:id="274365902">
      <w:bodyDiv w:val="1"/>
      <w:marLeft w:val="0"/>
      <w:marRight w:val="0"/>
      <w:marTop w:val="0"/>
      <w:marBottom w:val="0"/>
      <w:divBdr>
        <w:top w:val="none" w:sz="0" w:space="0" w:color="auto"/>
        <w:left w:val="none" w:sz="0" w:space="0" w:color="auto"/>
        <w:bottom w:val="none" w:sz="0" w:space="0" w:color="auto"/>
        <w:right w:val="none" w:sz="0" w:space="0" w:color="auto"/>
      </w:divBdr>
    </w:div>
    <w:div w:id="423838436">
      <w:bodyDiv w:val="1"/>
      <w:marLeft w:val="0"/>
      <w:marRight w:val="0"/>
      <w:marTop w:val="0"/>
      <w:marBottom w:val="0"/>
      <w:divBdr>
        <w:top w:val="none" w:sz="0" w:space="0" w:color="auto"/>
        <w:left w:val="none" w:sz="0" w:space="0" w:color="auto"/>
        <w:bottom w:val="none" w:sz="0" w:space="0" w:color="auto"/>
        <w:right w:val="none" w:sz="0" w:space="0" w:color="auto"/>
      </w:divBdr>
    </w:div>
    <w:div w:id="426967401">
      <w:bodyDiv w:val="1"/>
      <w:marLeft w:val="0"/>
      <w:marRight w:val="0"/>
      <w:marTop w:val="0"/>
      <w:marBottom w:val="0"/>
      <w:divBdr>
        <w:top w:val="none" w:sz="0" w:space="0" w:color="auto"/>
        <w:left w:val="none" w:sz="0" w:space="0" w:color="auto"/>
        <w:bottom w:val="none" w:sz="0" w:space="0" w:color="auto"/>
        <w:right w:val="none" w:sz="0" w:space="0" w:color="auto"/>
      </w:divBdr>
    </w:div>
    <w:div w:id="447821597">
      <w:bodyDiv w:val="1"/>
      <w:marLeft w:val="0"/>
      <w:marRight w:val="0"/>
      <w:marTop w:val="0"/>
      <w:marBottom w:val="0"/>
      <w:divBdr>
        <w:top w:val="none" w:sz="0" w:space="0" w:color="auto"/>
        <w:left w:val="none" w:sz="0" w:space="0" w:color="auto"/>
        <w:bottom w:val="none" w:sz="0" w:space="0" w:color="auto"/>
        <w:right w:val="none" w:sz="0" w:space="0" w:color="auto"/>
      </w:divBdr>
    </w:div>
    <w:div w:id="504631994">
      <w:bodyDiv w:val="1"/>
      <w:marLeft w:val="0"/>
      <w:marRight w:val="0"/>
      <w:marTop w:val="0"/>
      <w:marBottom w:val="0"/>
      <w:divBdr>
        <w:top w:val="none" w:sz="0" w:space="0" w:color="auto"/>
        <w:left w:val="none" w:sz="0" w:space="0" w:color="auto"/>
        <w:bottom w:val="none" w:sz="0" w:space="0" w:color="auto"/>
        <w:right w:val="none" w:sz="0" w:space="0" w:color="auto"/>
      </w:divBdr>
    </w:div>
    <w:div w:id="535504305">
      <w:bodyDiv w:val="1"/>
      <w:marLeft w:val="0"/>
      <w:marRight w:val="0"/>
      <w:marTop w:val="0"/>
      <w:marBottom w:val="0"/>
      <w:divBdr>
        <w:top w:val="none" w:sz="0" w:space="0" w:color="auto"/>
        <w:left w:val="none" w:sz="0" w:space="0" w:color="auto"/>
        <w:bottom w:val="none" w:sz="0" w:space="0" w:color="auto"/>
        <w:right w:val="none" w:sz="0" w:space="0" w:color="auto"/>
      </w:divBdr>
    </w:div>
    <w:div w:id="593128124">
      <w:bodyDiv w:val="1"/>
      <w:marLeft w:val="0"/>
      <w:marRight w:val="0"/>
      <w:marTop w:val="0"/>
      <w:marBottom w:val="0"/>
      <w:divBdr>
        <w:top w:val="none" w:sz="0" w:space="0" w:color="auto"/>
        <w:left w:val="none" w:sz="0" w:space="0" w:color="auto"/>
        <w:bottom w:val="none" w:sz="0" w:space="0" w:color="auto"/>
        <w:right w:val="none" w:sz="0" w:space="0" w:color="auto"/>
      </w:divBdr>
      <w:divsChild>
        <w:div w:id="212063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470666">
      <w:bodyDiv w:val="1"/>
      <w:marLeft w:val="0"/>
      <w:marRight w:val="0"/>
      <w:marTop w:val="0"/>
      <w:marBottom w:val="0"/>
      <w:divBdr>
        <w:top w:val="none" w:sz="0" w:space="0" w:color="auto"/>
        <w:left w:val="none" w:sz="0" w:space="0" w:color="auto"/>
        <w:bottom w:val="none" w:sz="0" w:space="0" w:color="auto"/>
        <w:right w:val="none" w:sz="0" w:space="0" w:color="auto"/>
      </w:divBdr>
    </w:div>
    <w:div w:id="618686459">
      <w:bodyDiv w:val="1"/>
      <w:marLeft w:val="0"/>
      <w:marRight w:val="0"/>
      <w:marTop w:val="0"/>
      <w:marBottom w:val="0"/>
      <w:divBdr>
        <w:top w:val="none" w:sz="0" w:space="0" w:color="auto"/>
        <w:left w:val="none" w:sz="0" w:space="0" w:color="auto"/>
        <w:bottom w:val="none" w:sz="0" w:space="0" w:color="auto"/>
        <w:right w:val="none" w:sz="0" w:space="0" w:color="auto"/>
      </w:divBdr>
    </w:div>
    <w:div w:id="723917069">
      <w:bodyDiv w:val="1"/>
      <w:marLeft w:val="0"/>
      <w:marRight w:val="0"/>
      <w:marTop w:val="0"/>
      <w:marBottom w:val="0"/>
      <w:divBdr>
        <w:top w:val="none" w:sz="0" w:space="0" w:color="auto"/>
        <w:left w:val="none" w:sz="0" w:space="0" w:color="auto"/>
        <w:bottom w:val="none" w:sz="0" w:space="0" w:color="auto"/>
        <w:right w:val="none" w:sz="0" w:space="0" w:color="auto"/>
      </w:divBdr>
    </w:div>
    <w:div w:id="739600837">
      <w:bodyDiv w:val="1"/>
      <w:marLeft w:val="0"/>
      <w:marRight w:val="0"/>
      <w:marTop w:val="0"/>
      <w:marBottom w:val="0"/>
      <w:divBdr>
        <w:top w:val="none" w:sz="0" w:space="0" w:color="auto"/>
        <w:left w:val="none" w:sz="0" w:space="0" w:color="auto"/>
        <w:bottom w:val="none" w:sz="0" w:space="0" w:color="auto"/>
        <w:right w:val="none" w:sz="0" w:space="0" w:color="auto"/>
      </w:divBdr>
    </w:div>
    <w:div w:id="796948425">
      <w:bodyDiv w:val="1"/>
      <w:marLeft w:val="0"/>
      <w:marRight w:val="0"/>
      <w:marTop w:val="0"/>
      <w:marBottom w:val="0"/>
      <w:divBdr>
        <w:top w:val="none" w:sz="0" w:space="0" w:color="auto"/>
        <w:left w:val="none" w:sz="0" w:space="0" w:color="auto"/>
        <w:bottom w:val="none" w:sz="0" w:space="0" w:color="auto"/>
        <w:right w:val="none" w:sz="0" w:space="0" w:color="auto"/>
      </w:divBdr>
    </w:div>
    <w:div w:id="896281900">
      <w:bodyDiv w:val="1"/>
      <w:marLeft w:val="0"/>
      <w:marRight w:val="0"/>
      <w:marTop w:val="0"/>
      <w:marBottom w:val="0"/>
      <w:divBdr>
        <w:top w:val="none" w:sz="0" w:space="0" w:color="auto"/>
        <w:left w:val="none" w:sz="0" w:space="0" w:color="auto"/>
        <w:bottom w:val="none" w:sz="0" w:space="0" w:color="auto"/>
        <w:right w:val="none" w:sz="0" w:space="0" w:color="auto"/>
      </w:divBdr>
      <w:divsChild>
        <w:div w:id="1952199972">
          <w:marLeft w:val="0"/>
          <w:marRight w:val="0"/>
          <w:marTop w:val="0"/>
          <w:marBottom w:val="0"/>
          <w:divBdr>
            <w:top w:val="none" w:sz="0" w:space="0" w:color="auto"/>
            <w:left w:val="none" w:sz="0" w:space="0" w:color="auto"/>
            <w:bottom w:val="none" w:sz="0" w:space="0" w:color="auto"/>
            <w:right w:val="none" w:sz="0" w:space="0" w:color="auto"/>
          </w:divBdr>
          <w:divsChild>
            <w:div w:id="340358208">
              <w:marLeft w:val="0"/>
              <w:marRight w:val="0"/>
              <w:marTop w:val="0"/>
              <w:marBottom w:val="0"/>
              <w:divBdr>
                <w:top w:val="none" w:sz="0" w:space="0" w:color="auto"/>
                <w:left w:val="none" w:sz="0" w:space="0" w:color="auto"/>
                <w:bottom w:val="none" w:sz="0" w:space="0" w:color="auto"/>
                <w:right w:val="none" w:sz="0" w:space="0" w:color="auto"/>
              </w:divBdr>
              <w:divsChild>
                <w:div w:id="1431510265">
                  <w:marLeft w:val="0"/>
                  <w:marRight w:val="0"/>
                  <w:marTop w:val="0"/>
                  <w:marBottom w:val="0"/>
                  <w:divBdr>
                    <w:top w:val="none" w:sz="0" w:space="0" w:color="auto"/>
                    <w:left w:val="none" w:sz="0" w:space="0" w:color="auto"/>
                    <w:bottom w:val="none" w:sz="0" w:space="0" w:color="auto"/>
                    <w:right w:val="none" w:sz="0" w:space="0" w:color="auto"/>
                  </w:divBdr>
                  <w:divsChild>
                    <w:div w:id="1641571794">
                      <w:marLeft w:val="0"/>
                      <w:marRight w:val="0"/>
                      <w:marTop w:val="525"/>
                      <w:marBottom w:val="750"/>
                      <w:divBdr>
                        <w:top w:val="none" w:sz="0" w:space="0" w:color="auto"/>
                        <w:left w:val="none" w:sz="0" w:space="0" w:color="auto"/>
                        <w:bottom w:val="none" w:sz="0" w:space="0" w:color="auto"/>
                        <w:right w:val="none" w:sz="0" w:space="0" w:color="auto"/>
                      </w:divBdr>
                      <w:divsChild>
                        <w:div w:id="1150757059">
                          <w:marLeft w:val="0"/>
                          <w:marRight w:val="525"/>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922950965">
      <w:bodyDiv w:val="1"/>
      <w:marLeft w:val="0"/>
      <w:marRight w:val="0"/>
      <w:marTop w:val="0"/>
      <w:marBottom w:val="0"/>
      <w:divBdr>
        <w:top w:val="none" w:sz="0" w:space="0" w:color="auto"/>
        <w:left w:val="none" w:sz="0" w:space="0" w:color="auto"/>
        <w:bottom w:val="none" w:sz="0" w:space="0" w:color="auto"/>
        <w:right w:val="none" w:sz="0" w:space="0" w:color="auto"/>
      </w:divBdr>
    </w:div>
    <w:div w:id="987126929">
      <w:bodyDiv w:val="1"/>
      <w:marLeft w:val="0"/>
      <w:marRight w:val="0"/>
      <w:marTop w:val="0"/>
      <w:marBottom w:val="0"/>
      <w:divBdr>
        <w:top w:val="none" w:sz="0" w:space="0" w:color="auto"/>
        <w:left w:val="none" w:sz="0" w:space="0" w:color="auto"/>
        <w:bottom w:val="none" w:sz="0" w:space="0" w:color="auto"/>
        <w:right w:val="none" w:sz="0" w:space="0" w:color="auto"/>
      </w:divBdr>
    </w:div>
    <w:div w:id="1013150821">
      <w:bodyDiv w:val="1"/>
      <w:marLeft w:val="0"/>
      <w:marRight w:val="0"/>
      <w:marTop w:val="0"/>
      <w:marBottom w:val="0"/>
      <w:divBdr>
        <w:top w:val="none" w:sz="0" w:space="0" w:color="auto"/>
        <w:left w:val="none" w:sz="0" w:space="0" w:color="auto"/>
        <w:bottom w:val="none" w:sz="0" w:space="0" w:color="auto"/>
        <w:right w:val="none" w:sz="0" w:space="0" w:color="auto"/>
      </w:divBdr>
    </w:div>
    <w:div w:id="1020207156">
      <w:bodyDiv w:val="1"/>
      <w:marLeft w:val="0"/>
      <w:marRight w:val="0"/>
      <w:marTop w:val="0"/>
      <w:marBottom w:val="0"/>
      <w:divBdr>
        <w:top w:val="none" w:sz="0" w:space="0" w:color="auto"/>
        <w:left w:val="none" w:sz="0" w:space="0" w:color="auto"/>
        <w:bottom w:val="none" w:sz="0" w:space="0" w:color="auto"/>
        <w:right w:val="none" w:sz="0" w:space="0" w:color="auto"/>
      </w:divBdr>
    </w:div>
    <w:div w:id="1163354513">
      <w:bodyDiv w:val="1"/>
      <w:marLeft w:val="0"/>
      <w:marRight w:val="0"/>
      <w:marTop w:val="0"/>
      <w:marBottom w:val="0"/>
      <w:divBdr>
        <w:top w:val="none" w:sz="0" w:space="0" w:color="auto"/>
        <w:left w:val="none" w:sz="0" w:space="0" w:color="auto"/>
        <w:bottom w:val="none" w:sz="0" w:space="0" w:color="auto"/>
        <w:right w:val="none" w:sz="0" w:space="0" w:color="auto"/>
      </w:divBdr>
    </w:div>
    <w:div w:id="1187985969">
      <w:bodyDiv w:val="1"/>
      <w:marLeft w:val="0"/>
      <w:marRight w:val="0"/>
      <w:marTop w:val="0"/>
      <w:marBottom w:val="0"/>
      <w:divBdr>
        <w:top w:val="none" w:sz="0" w:space="0" w:color="auto"/>
        <w:left w:val="none" w:sz="0" w:space="0" w:color="auto"/>
        <w:bottom w:val="none" w:sz="0" w:space="0" w:color="auto"/>
        <w:right w:val="none" w:sz="0" w:space="0" w:color="auto"/>
      </w:divBdr>
    </w:div>
    <w:div w:id="1190417312">
      <w:bodyDiv w:val="1"/>
      <w:marLeft w:val="0"/>
      <w:marRight w:val="0"/>
      <w:marTop w:val="0"/>
      <w:marBottom w:val="0"/>
      <w:divBdr>
        <w:top w:val="none" w:sz="0" w:space="0" w:color="auto"/>
        <w:left w:val="none" w:sz="0" w:space="0" w:color="auto"/>
        <w:bottom w:val="none" w:sz="0" w:space="0" w:color="auto"/>
        <w:right w:val="none" w:sz="0" w:space="0" w:color="auto"/>
      </w:divBdr>
    </w:div>
    <w:div w:id="1200970405">
      <w:bodyDiv w:val="1"/>
      <w:marLeft w:val="0"/>
      <w:marRight w:val="0"/>
      <w:marTop w:val="0"/>
      <w:marBottom w:val="0"/>
      <w:divBdr>
        <w:top w:val="none" w:sz="0" w:space="0" w:color="auto"/>
        <w:left w:val="none" w:sz="0" w:space="0" w:color="auto"/>
        <w:bottom w:val="none" w:sz="0" w:space="0" w:color="auto"/>
        <w:right w:val="none" w:sz="0" w:space="0" w:color="auto"/>
      </w:divBdr>
    </w:div>
    <w:div w:id="1203518611">
      <w:bodyDiv w:val="1"/>
      <w:marLeft w:val="0"/>
      <w:marRight w:val="0"/>
      <w:marTop w:val="0"/>
      <w:marBottom w:val="0"/>
      <w:divBdr>
        <w:top w:val="none" w:sz="0" w:space="0" w:color="auto"/>
        <w:left w:val="none" w:sz="0" w:space="0" w:color="auto"/>
        <w:bottom w:val="none" w:sz="0" w:space="0" w:color="auto"/>
        <w:right w:val="none" w:sz="0" w:space="0" w:color="auto"/>
      </w:divBdr>
    </w:div>
    <w:div w:id="1267812022">
      <w:bodyDiv w:val="1"/>
      <w:marLeft w:val="0"/>
      <w:marRight w:val="0"/>
      <w:marTop w:val="0"/>
      <w:marBottom w:val="0"/>
      <w:divBdr>
        <w:top w:val="none" w:sz="0" w:space="0" w:color="auto"/>
        <w:left w:val="none" w:sz="0" w:space="0" w:color="auto"/>
        <w:bottom w:val="none" w:sz="0" w:space="0" w:color="auto"/>
        <w:right w:val="none" w:sz="0" w:space="0" w:color="auto"/>
      </w:divBdr>
    </w:div>
    <w:div w:id="1340236811">
      <w:bodyDiv w:val="1"/>
      <w:marLeft w:val="0"/>
      <w:marRight w:val="0"/>
      <w:marTop w:val="0"/>
      <w:marBottom w:val="0"/>
      <w:divBdr>
        <w:top w:val="none" w:sz="0" w:space="0" w:color="auto"/>
        <w:left w:val="none" w:sz="0" w:space="0" w:color="auto"/>
        <w:bottom w:val="none" w:sz="0" w:space="0" w:color="auto"/>
        <w:right w:val="none" w:sz="0" w:space="0" w:color="auto"/>
      </w:divBdr>
    </w:div>
    <w:div w:id="1362513545">
      <w:bodyDiv w:val="1"/>
      <w:marLeft w:val="0"/>
      <w:marRight w:val="0"/>
      <w:marTop w:val="0"/>
      <w:marBottom w:val="0"/>
      <w:divBdr>
        <w:top w:val="none" w:sz="0" w:space="0" w:color="auto"/>
        <w:left w:val="none" w:sz="0" w:space="0" w:color="auto"/>
        <w:bottom w:val="none" w:sz="0" w:space="0" w:color="auto"/>
        <w:right w:val="none" w:sz="0" w:space="0" w:color="auto"/>
      </w:divBdr>
    </w:div>
    <w:div w:id="1373190990">
      <w:bodyDiv w:val="1"/>
      <w:marLeft w:val="0"/>
      <w:marRight w:val="0"/>
      <w:marTop w:val="0"/>
      <w:marBottom w:val="0"/>
      <w:divBdr>
        <w:top w:val="none" w:sz="0" w:space="0" w:color="auto"/>
        <w:left w:val="none" w:sz="0" w:space="0" w:color="auto"/>
        <w:bottom w:val="none" w:sz="0" w:space="0" w:color="auto"/>
        <w:right w:val="none" w:sz="0" w:space="0" w:color="auto"/>
      </w:divBdr>
    </w:div>
    <w:div w:id="1388921121">
      <w:bodyDiv w:val="1"/>
      <w:marLeft w:val="0"/>
      <w:marRight w:val="0"/>
      <w:marTop w:val="0"/>
      <w:marBottom w:val="0"/>
      <w:divBdr>
        <w:top w:val="none" w:sz="0" w:space="0" w:color="auto"/>
        <w:left w:val="none" w:sz="0" w:space="0" w:color="auto"/>
        <w:bottom w:val="none" w:sz="0" w:space="0" w:color="auto"/>
        <w:right w:val="none" w:sz="0" w:space="0" w:color="auto"/>
      </w:divBdr>
    </w:div>
    <w:div w:id="1436748836">
      <w:bodyDiv w:val="1"/>
      <w:marLeft w:val="0"/>
      <w:marRight w:val="0"/>
      <w:marTop w:val="0"/>
      <w:marBottom w:val="0"/>
      <w:divBdr>
        <w:top w:val="none" w:sz="0" w:space="0" w:color="auto"/>
        <w:left w:val="none" w:sz="0" w:space="0" w:color="auto"/>
        <w:bottom w:val="none" w:sz="0" w:space="0" w:color="auto"/>
        <w:right w:val="none" w:sz="0" w:space="0" w:color="auto"/>
      </w:divBdr>
    </w:div>
    <w:div w:id="1542865689">
      <w:bodyDiv w:val="1"/>
      <w:marLeft w:val="0"/>
      <w:marRight w:val="0"/>
      <w:marTop w:val="0"/>
      <w:marBottom w:val="0"/>
      <w:divBdr>
        <w:top w:val="none" w:sz="0" w:space="0" w:color="auto"/>
        <w:left w:val="none" w:sz="0" w:space="0" w:color="auto"/>
        <w:bottom w:val="none" w:sz="0" w:space="0" w:color="auto"/>
        <w:right w:val="none" w:sz="0" w:space="0" w:color="auto"/>
      </w:divBdr>
    </w:div>
    <w:div w:id="1575627515">
      <w:bodyDiv w:val="1"/>
      <w:marLeft w:val="0"/>
      <w:marRight w:val="0"/>
      <w:marTop w:val="0"/>
      <w:marBottom w:val="0"/>
      <w:divBdr>
        <w:top w:val="none" w:sz="0" w:space="0" w:color="auto"/>
        <w:left w:val="none" w:sz="0" w:space="0" w:color="auto"/>
        <w:bottom w:val="none" w:sz="0" w:space="0" w:color="auto"/>
        <w:right w:val="none" w:sz="0" w:space="0" w:color="auto"/>
      </w:divBdr>
    </w:div>
    <w:div w:id="1621917663">
      <w:bodyDiv w:val="1"/>
      <w:marLeft w:val="0"/>
      <w:marRight w:val="0"/>
      <w:marTop w:val="0"/>
      <w:marBottom w:val="0"/>
      <w:divBdr>
        <w:top w:val="none" w:sz="0" w:space="0" w:color="auto"/>
        <w:left w:val="none" w:sz="0" w:space="0" w:color="auto"/>
        <w:bottom w:val="none" w:sz="0" w:space="0" w:color="auto"/>
        <w:right w:val="none" w:sz="0" w:space="0" w:color="auto"/>
      </w:divBdr>
    </w:div>
    <w:div w:id="1692796216">
      <w:bodyDiv w:val="1"/>
      <w:marLeft w:val="0"/>
      <w:marRight w:val="0"/>
      <w:marTop w:val="0"/>
      <w:marBottom w:val="0"/>
      <w:divBdr>
        <w:top w:val="none" w:sz="0" w:space="0" w:color="auto"/>
        <w:left w:val="none" w:sz="0" w:space="0" w:color="auto"/>
        <w:bottom w:val="none" w:sz="0" w:space="0" w:color="auto"/>
        <w:right w:val="none" w:sz="0" w:space="0" w:color="auto"/>
      </w:divBdr>
    </w:div>
    <w:div w:id="1725371064">
      <w:bodyDiv w:val="1"/>
      <w:marLeft w:val="0"/>
      <w:marRight w:val="0"/>
      <w:marTop w:val="0"/>
      <w:marBottom w:val="0"/>
      <w:divBdr>
        <w:top w:val="none" w:sz="0" w:space="0" w:color="auto"/>
        <w:left w:val="none" w:sz="0" w:space="0" w:color="auto"/>
        <w:bottom w:val="none" w:sz="0" w:space="0" w:color="auto"/>
        <w:right w:val="none" w:sz="0" w:space="0" w:color="auto"/>
      </w:divBdr>
    </w:div>
    <w:div w:id="1743673916">
      <w:bodyDiv w:val="1"/>
      <w:marLeft w:val="0"/>
      <w:marRight w:val="0"/>
      <w:marTop w:val="0"/>
      <w:marBottom w:val="0"/>
      <w:divBdr>
        <w:top w:val="none" w:sz="0" w:space="0" w:color="auto"/>
        <w:left w:val="none" w:sz="0" w:space="0" w:color="auto"/>
        <w:bottom w:val="none" w:sz="0" w:space="0" w:color="auto"/>
        <w:right w:val="none" w:sz="0" w:space="0" w:color="auto"/>
      </w:divBdr>
    </w:div>
    <w:div w:id="1776900094">
      <w:bodyDiv w:val="1"/>
      <w:marLeft w:val="0"/>
      <w:marRight w:val="0"/>
      <w:marTop w:val="0"/>
      <w:marBottom w:val="0"/>
      <w:divBdr>
        <w:top w:val="none" w:sz="0" w:space="0" w:color="auto"/>
        <w:left w:val="none" w:sz="0" w:space="0" w:color="auto"/>
        <w:bottom w:val="none" w:sz="0" w:space="0" w:color="auto"/>
        <w:right w:val="none" w:sz="0" w:space="0" w:color="auto"/>
      </w:divBdr>
    </w:div>
    <w:div w:id="1879006459">
      <w:bodyDiv w:val="1"/>
      <w:marLeft w:val="0"/>
      <w:marRight w:val="0"/>
      <w:marTop w:val="0"/>
      <w:marBottom w:val="0"/>
      <w:divBdr>
        <w:top w:val="none" w:sz="0" w:space="0" w:color="auto"/>
        <w:left w:val="none" w:sz="0" w:space="0" w:color="auto"/>
        <w:bottom w:val="none" w:sz="0" w:space="0" w:color="auto"/>
        <w:right w:val="none" w:sz="0" w:space="0" w:color="auto"/>
      </w:divBdr>
    </w:div>
    <w:div w:id="1906646144">
      <w:bodyDiv w:val="1"/>
      <w:marLeft w:val="0"/>
      <w:marRight w:val="0"/>
      <w:marTop w:val="0"/>
      <w:marBottom w:val="0"/>
      <w:divBdr>
        <w:top w:val="none" w:sz="0" w:space="0" w:color="auto"/>
        <w:left w:val="none" w:sz="0" w:space="0" w:color="auto"/>
        <w:bottom w:val="none" w:sz="0" w:space="0" w:color="auto"/>
        <w:right w:val="none" w:sz="0" w:space="0" w:color="auto"/>
      </w:divBdr>
    </w:div>
    <w:div w:id="1974678876">
      <w:bodyDiv w:val="1"/>
      <w:marLeft w:val="0"/>
      <w:marRight w:val="0"/>
      <w:marTop w:val="0"/>
      <w:marBottom w:val="0"/>
      <w:divBdr>
        <w:top w:val="none" w:sz="0" w:space="0" w:color="auto"/>
        <w:left w:val="none" w:sz="0" w:space="0" w:color="auto"/>
        <w:bottom w:val="none" w:sz="0" w:space="0" w:color="auto"/>
        <w:right w:val="none" w:sz="0" w:space="0" w:color="auto"/>
      </w:divBdr>
    </w:div>
    <w:div w:id="2054307217">
      <w:bodyDiv w:val="1"/>
      <w:marLeft w:val="0"/>
      <w:marRight w:val="0"/>
      <w:marTop w:val="0"/>
      <w:marBottom w:val="0"/>
      <w:divBdr>
        <w:top w:val="none" w:sz="0" w:space="0" w:color="auto"/>
        <w:left w:val="none" w:sz="0" w:space="0" w:color="auto"/>
        <w:bottom w:val="none" w:sz="0" w:space="0" w:color="auto"/>
        <w:right w:val="none" w:sz="0" w:space="0" w:color="auto"/>
      </w:divBdr>
    </w:div>
    <w:div w:id="2060664285">
      <w:bodyDiv w:val="1"/>
      <w:marLeft w:val="0"/>
      <w:marRight w:val="0"/>
      <w:marTop w:val="0"/>
      <w:marBottom w:val="0"/>
      <w:divBdr>
        <w:top w:val="none" w:sz="0" w:space="0" w:color="auto"/>
        <w:left w:val="none" w:sz="0" w:space="0" w:color="auto"/>
        <w:bottom w:val="none" w:sz="0" w:space="0" w:color="auto"/>
        <w:right w:val="none" w:sz="0" w:space="0" w:color="auto"/>
      </w:divBdr>
    </w:div>
    <w:div w:id="20777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N:\Service%20Support\Health%20Safety%20&amp;%20Welfare\Department%20Only\Team%20Docs\Covid%2019%20(Coronavirus)\Internal%20communications\Joint%20Statement%20COVID-19%20Secure%20Premises%20(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369FA25CF81E4ABCD073BFC59AB232" ma:contentTypeVersion="15" ma:contentTypeDescription="Create a new document." ma:contentTypeScope="" ma:versionID="2b55aa078660ba148d028b156984be63">
  <xsd:schema xmlns:xsd="http://www.w3.org/2001/XMLSchema" xmlns:xs="http://www.w3.org/2001/XMLSchema" xmlns:p="http://schemas.microsoft.com/office/2006/metadata/properties" xmlns:ns2="c5a5b5b6-b740-4ea2-9608-22eb61fa142e" xmlns:ns3="b11ae32b-107a-4d7e-a340-5787b63fb905" targetNamespace="http://schemas.microsoft.com/office/2006/metadata/properties" ma:root="true" ma:fieldsID="1f0671534537eabed1ec9edfeb54b868" ns2:_="" ns3:_="">
    <xsd:import namespace="c5a5b5b6-b740-4ea2-9608-22eb61fa142e"/>
    <xsd:import namespace="b11ae32b-107a-4d7e-a340-5787b63fb9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5b5b6-b740-4ea2-9608-22eb61fa1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15a5b8-2f53-4d48-94ca-1688e449e0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ae32b-107a-4d7e-a340-5787b63fb9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59a467-df79-477b-8385-50a95e7273c8}" ma:internalName="TaxCatchAll" ma:showField="CatchAllData" ma:web="b11ae32b-107a-4d7e-a340-5787b63fb9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3741F-D248-4E0A-8440-AC426BC4FBAD}">
  <ds:schemaRefs>
    <ds:schemaRef ds:uri="http://schemas.openxmlformats.org/officeDocument/2006/bibliography"/>
  </ds:schemaRefs>
</ds:datastoreItem>
</file>

<file path=customXml/itemProps2.xml><?xml version="1.0" encoding="utf-8"?>
<ds:datastoreItem xmlns:ds="http://schemas.openxmlformats.org/officeDocument/2006/customXml" ds:itemID="{E61ED972-93D3-40CD-9786-D9DA3A40426A}"/>
</file>

<file path=customXml/itemProps3.xml><?xml version="1.0" encoding="utf-8"?>
<ds:datastoreItem xmlns:ds="http://schemas.openxmlformats.org/officeDocument/2006/customXml" ds:itemID="{D01D799D-B41C-4951-9AF1-1002D5869B6F}"/>
</file>

<file path=docProps/app.xml><?xml version="1.0" encoding="utf-8"?>
<Properties xmlns="http://schemas.openxmlformats.org/officeDocument/2006/extended-properties" xmlns:vt="http://schemas.openxmlformats.org/officeDocument/2006/docPropsVTypes">
  <Template>Normal</Template>
  <TotalTime>5</TotalTime>
  <Pages>28</Pages>
  <Words>7372</Words>
  <Characters>42026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 Ali</dc:creator>
  <cp:keywords/>
  <dc:description/>
  <cp:lastModifiedBy>Quainton, Ali</cp:lastModifiedBy>
  <cp:revision>2</cp:revision>
  <cp:lastPrinted>2016-11-22T12:54:00Z</cp:lastPrinted>
  <dcterms:created xsi:type="dcterms:W3CDTF">2021-11-18T10:38:00Z</dcterms:created>
  <dcterms:modified xsi:type="dcterms:W3CDTF">2021-11-18T10:38:00Z</dcterms:modified>
</cp:coreProperties>
</file>